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tab/>
      </w:r>
      <w:r>
        <w:tab/>
      </w:r>
      <w:r>
        <w:tab/>
      </w:r>
      <w:r>
        <w:tab/>
      </w:r>
    </w:p>
    <w:p>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1811388</wp:posOffset>
                </wp:positionH>
                <wp:positionV relativeFrom="paragraph">
                  <wp:posOffset>9626</wp:posOffset>
                </wp:positionV>
                <wp:extent cx="4475747" cy="346509"/>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5747" cy="346509"/>
                        </a:xfrm>
                        <a:prstGeom prst="rect">
                          <a:avLst/>
                        </a:prstGeom>
                        <a:solidFill>
                          <a:srgbClr val="FFFFFF"/>
                        </a:solidFill>
                        <a:ln w="9525">
                          <a:noFill/>
                          <a:miter lim="800000"/>
                          <a:headEnd/>
                          <a:tailEnd/>
                        </a:ln>
                      </wps:spPr>
                      <wps:txbx>
                        <w:txbxContent>
                          <w:p>
                            <w:pPr>
                              <w:rPr>
                                <w:b/>
                                <w:sz w:val="40"/>
                                <w:szCs w:val="40"/>
                              </w:rPr>
                            </w:pPr>
                            <w:r>
                              <w:rPr>
                                <w:b/>
                                <w:sz w:val="40"/>
                                <w:szCs w:val="40"/>
                              </w:rPr>
                              <w:t>ANAPHYLAXIS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65pt;margin-top:.75pt;width:352.4pt;height: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JaIgIAAB0EAAAOAAAAZHJzL2Uyb0RvYy54bWysU21v2yAQ/j5p/wHxfbGTO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" stroked="f">
                <v:textbox>
                  <w:txbxContent>
                    <w:p>
                      <w:pPr>
                        <w:rPr>
                          <w:b/>
                          <w:sz w:val="40"/>
                          <w:szCs w:val="40"/>
                        </w:rPr>
                      </w:pPr>
                      <w:r>
                        <w:rPr>
                          <w:b/>
                          <w:sz w:val="40"/>
                          <w:szCs w:val="40"/>
                        </w:rPr>
                        <w:t>ANAPHYLAXIS   POLICY</w:t>
                      </w:r>
                    </w:p>
                  </w:txbxContent>
                </v:textbox>
              </v:shape>
            </w:pict>
          </mc:Fallback>
        </mc:AlternateContent>
      </w:r>
      <w:r>
        <w:rPr>
          <w:noProof/>
          <w:lang w:eastAsia="en-AU"/>
        </w:rPr>
        <mc:AlternateContent>
          <mc:Choice Requires="wpg">
            <w:drawing>
              <wp:anchor distT="0" distB="0" distL="114300" distR="114300" simplePos="0" relativeHeight="251659264" behindDoc="0" locked="0" layoutInCell="1" allowOverlap="1">
                <wp:simplePos x="0" y="0"/>
                <wp:positionH relativeFrom="column">
                  <wp:posOffset>-283210</wp:posOffset>
                </wp:positionH>
                <wp:positionV relativeFrom="paragraph">
                  <wp:posOffset>438785</wp:posOffset>
                </wp:positionV>
                <wp:extent cx="6629400" cy="800100"/>
                <wp:effectExtent l="19050" t="19050" r="19050" b="1905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800100"/>
                          <a:chOff x="935" y="1713"/>
                          <a:chExt cx="10440" cy="1260"/>
                        </a:xfrm>
                        <a:solidFill>
                          <a:srgbClr val="B3BEF7"/>
                        </a:solidFill>
                      </wpg:grpSpPr>
                      <wps:wsp>
                        <wps:cNvPr id="5" name="AutoShape 5"/>
                        <wps:cNvSpPr>
                          <a:spLocks noChangeArrowheads="1" noChangeShapeType="1"/>
                        </wps:cNvSpPr>
                        <wps:spPr bwMode="auto">
                          <a:xfrm>
                            <a:off x="4910" y="2028"/>
                            <a:ext cx="4688" cy="945"/>
                          </a:xfrm>
                          <a:prstGeom prst="roundRect">
                            <a:avLst>
                              <a:gd name="adj" fmla="val 48759"/>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6" name="Rectangle 6"/>
                        <wps:cNvSpPr>
                          <a:spLocks noChangeArrowheads="1" noChangeShapeType="1"/>
                        </wps:cNvSpPr>
                        <wps:spPr bwMode="auto">
                          <a:xfrm>
                            <a:off x="3995" y="1713"/>
                            <a:ext cx="7380" cy="742"/>
                          </a:xfrm>
                          <a:prstGeom prst="rect">
                            <a:avLst/>
                          </a:prstGeom>
                          <a:grpFill/>
                          <a:ln w="38100" cmpd="sng" algn="in">
                            <a:solidFill>
                              <a:sysClr val="window" lastClr="FFFFFF">
                                <a:lumMod val="95000"/>
                                <a:lumOff val="0"/>
                              </a:sys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7" name="AutoShape 7"/>
                        <wps:cNvSpPr>
                          <a:spLocks noChangeArrowheads="1" noChangeShapeType="1"/>
                        </wps:cNvSpPr>
                        <wps:spPr bwMode="auto">
                          <a:xfrm>
                            <a:off x="935" y="2051"/>
                            <a:ext cx="9915" cy="397"/>
                          </a:xfrm>
                          <a:prstGeom prst="roundRect">
                            <a:avLst>
                              <a:gd name="adj" fmla="val 50000"/>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2.3pt;margin-top:34.55pt;width:522pt;height:63pt;z-index:251659264"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">
                <v:roundrect id="AutoShape 5" o:spid="_x0000_s1027" style="position:absolute;left:4910;top:2028;width:4688;height:94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" filled="f" strokecolor="#f2f2f2" strokeweight="3pt" insetpen="t">
                  <v:shadow color="#243f60 [1604]" opacity=".5" offset="1pt"/>
                  <o:lock v:ext="edit" shapetype="t"/>
                  <v:textbox inset="2.88pt,2.88pt,2.88pt,2.88pt"/>
                </v:roundrect>
                <v:rect id="Rectangle 6" o:spid="_x0000_s1028" style="position:absolute;left:3995;top:1713;width:738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" filled="f" strokecolor="#f2f2f2" strokeweight="3pt" insetpen="t">
                  <v:shadow color="#243f60 [1604]" opacity=".5" offset="1pt"/>
                  <o:lock v:ext="edit" shapetype="t"/>
                  <v:textbox inset="2.88pt,2.88pt,2.88pt,2.88pt"/>
                </v:rect>
                <v:roundrect id="AutoShape 7" o:spid="_x0000_s1029" style="position:absolute;left:935;top:2051;width:9915;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" filled="f" strokecolor="#f2f2f2" strokeweight="3pt" insetpen="t">
                  <v:shadow color="#243f60 [1604]" opacity=".5" offset="1pt"/>
                  <o:lock v:ext="edit" shapetype="t"/>
                  <v:textbox inset="2.88pt,2.88pt,2.88pt,2.88pt"/>
                </v:roundrect>
              </v:group>
            </w:pict>
          </mc:Fallback>
        </mc:AlternateContent>
      </w:r>
      <w:r>
        <w:rPr>
          <w:noProof/>
          <w:lang w:eastAsia="en-AU"/>
        </w:rPr>
        <w:t>A</w:t>
      </w:r>
      <w:r>
        <w:rPr>
          <w:noProof/>
          <w:lang w:eastAsia="en-AU"/>
        </w:rPr>
        <w:drawing>
          <wp:inline distT="0" distB="0" distL="0" distR="0">
            <wp:extent cx="840105" cy="443865"/>
            <wp:effectExtent l="0" t="0" r="0" b="0"/>
            <wp:docPr id="1" name="Picture 2" descr="U:\0aaaJennyDavey\Logo &amp; letterheads\Transp Toolamba PS Logo (K) livetr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aaaJennyDavey\Logo &amp; letterheads\Transp Toolamba PS Logo (K) livetraced.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0105" cy="443865"/>
                    </a:xfrm>
                    <a:prstGeom prst="rect">
                      <a:avLst/>
                    </a:prstGeom>
                    <a:noFill/>
                    <a:ln>
                      <a:noFill/>
                    </a:ln>
                  </pic:spPr>
                </pic:pic>
              </a:graphicData>
            </a:graphic>
          </wp:inline>
        </w:drawing>
      </w:r>
    </w:p>
    <w:p>
      <w:pPr>
        <w:rPr>
          <w:b/>
        </w:rPr>
      </w:pPr>
    </w:p>
    <w:p>
      <w:pPr>
        <w:rPr>
          <w:b/>
        </w:rPr>
      </w:pPr>
    </w:p>
    <w:p>
      <w:pPr>
        <w:spacing w:after="0" w:line="240" w:lineRule="auto"/>
        <w:rPr>
          <w:rFonts w:eastAsia="Times New Roman" w:cs="Times New Roman"/>
          <w:sz w:val="24"/>
          <w:szCs w:val="24"/>
        </w:rPr>
      </w:pPr>
    </w:p>
    <w:p>
      <w:pPr>
        <w:jc w:val="both"/>
        <w:outlineLvl w:val="1"/>
        <w:rPr>
          <w:rFonts w:asciiTheme="majorHAnsi" w:eastAsiaTheme="majorEastAsia" w:hAnsiTheme="majorHAnsi" w:cstheme="majorBidi"/>
          <w:b/>
          <w:caps/>
          <w:color w:val="4F81BD" w:themeColor="accent1"/>
          <w:sz w:val="26"/>
          <w:szCs w:val="26"/>
        </w:rPr>
      </w:pPr>
      <w:bookmarkStart w:id="0" w:name="_Toc372621809"/>
      <w:r>
        <w:rPr>
          <w:rFonts w:asciiTheme="majorHAnsi" w:eastAsiaTheme="majorEastAsia" w:hAnsiTheme="majorHAnsi" w:cstheme="majorBidi"/>
          <w:b/>
          <w:caps/>
          <w:color w:val="4F81BD" w:themeColor="accent1"/>
          <w:sz w:val="26"/>
          <w:szCs w:val="26"/>
        </w:rPr>
        <w:t>Purpose</w:t>
      </w:r>
    </w:p>
    <w:p>
      <w:pPr>
        <w:jc w:val="both"/>
      </w:pPr>
      <w:r>
        <w:t xml:space="preserve">To explain to Toolamba PS parents, carers, staff and students the processes and procedures in place to support students diagnosed as being at risk of suffering from anaphylaxis. This policy also ensures that </w:t>
      </w:r>
      <w:r>
        <w:rPr>
          <w:rFonts w:cstheme="minorHAnsi"/>
        </w:rPr>
        <w:t>Toolamba PS is compliant with Ministerial Order 706 and the Department’s guidelines for anaphylaxis management</w:t>
      </w:r>
      <w:r>
        <w:t>.</w:t>
      </w:r>
    </w:p>
    <w:p>
      <w:pPr>
        <w:jc w:val="both"/>
        <w:outlineLvl w:val="1"/>
        <w:rPr>
          <w:rFonts w:asciiTheme="majorHAnsi" w:eastAsiaTheme="majorEastAsia" w:hAnsiTheme="majorHAnsi" w:cstheme="majorBidi"/>
          <w:b/>
          <w:caps/>
          <w:color w:val="4F81BD" w:themeColor="accent1"/>
          <w:sz w:val="26"/>
          <w:szCs w:val="26"/>
        </w:rPr>
      </w:pPr>
      <w:r>
        <w:rPr>
          <w:rFonts w:asciiTheme="majorHAnsi" w:eastAsiaTheme="majorEastAsia" w:hAnsiTheme="majorHAnsi" w:cstheme="majorBidi"/>
          <w:b/>
          <w:caps/>
          <w:color w:val="4F81BD" w:themeColor="accent1"/>
          <w:sz w:val="26"/>
          <w:szCs w:val="26"/>
        </w:rPr>
        <w:t>Scope</w:t>
      </w:r>
    </w:p>
    <w:p>
      <w:pPr>
        <w:jc w:val="both"/>
      </w:pPr>
      <w:r>
        <w:t>This policy applies to:</w:t>
      </w:r>
    </w:p>
    <w:p>
      <w:pPr>
        <w:pStyle w:val="ListParagraph"/>
        <w:numPr>
          <w:ilvl w:val="0"/>
          <w:numId w:val="2"/>
        </w:numPr>
        <w:jc w:val="both"/>
      </w:pPr>
      <w:r>
        <w:t>all staff, including casual relief staff and volunteers</w:t>
      </w:r>
    </w:p>
    <w:p>
      <w:pPr>
        <w:pStyle w:val="ListParagraph"/>
        <w:numPr>
          <w:ilvl w:val="0"/>
          <w:numId w:val="2"/>
        </w:numPr>
        <w:jc w:val="both"/>
      </w:pPr>
      <w:proofErr w:type="gramStart"/>
      <w:r>
        <w:t>all</w:t>
      </w:r>
      <w:proofErr w:type="gramEnd"/>
      <w:r>
        <w:t xml:space="preserve"> students who have been diagnosed with anaphylaxis, or who may require emergency treatment for an anaphylactic reaction, and their parents and carers.  </w:t>
      </w:r>
    </w:p>
    <w:p>
      <w:pPr>
        <w:jc w:val="both"/>
        <w:outlineLvl w:val="1"/>
        <w:rPr>
          <w:rFonts w:asciiTheme="majorHAnsi" w:eastAsiaTheme="majorEastAsia" w:hAnsiTheme="majorHAnsi" w:cstheme="majorBidi"/>
          <w:b/>
          <w:caps/>
          <w:color w:val="4F81BD" w:themeColor="accent1"/>
          <w:sz w:val="26"/>
          <w:szCs w:val="26"/>
        </w:rPr>
      </w:pPr>
      <w:r>
        <w:rPr>
          <w:rFonts w:asciiTheme="majorHAnsi" w:eastAsiaTheme="majorEastAsia" w:hAnsiTheme="majorHAnsi" w:cstheme="majorBidi"/>
          <w:b/>
          <w:caps/>
          <w:color w:val="4F81BD" w:themeColor="accent1"/>
          <w:sz w:val="26"/>
          <w:szCs w:val="26"/>
        </w:rPr>
        <w:t>Policy</w:t>
      </w:r>
    </w:p>
    <w:p>
      <w:pPr>
        <w:jc w:val="both"/>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School Statement</w:t>
      </w:r>
    </w:p>
    <w:p>
      <w:pPr>
        <w:jc w:val="both"/>
      </w:pPr>
      <w:r>
        <w:rPr>
          <w:rFonts w:cstheme="minorHAnsi"/>
        </w:rPr>
        <w:t>Toolamba PS will fully comply with Ministerial Order 706 and the associated guidelines published by the Department of Education and Training.</w:t>
      </w:r>
    </w:p>
    <w:p>
      <w:pPr>
        <w:jc w:val="both"/>
        <w:outlineLvl w:val="2"/>
        <w:rPr>
          <w:rFonts w:asciiTheme="majorHAnsi" w:eastAsiaTheme="majorEastAsia" w:hAnsiTheme="majorHAnsi" w:cstheme="majorBidi"/>
          <w:b/>
          <w:color w:val="000000" w:themeColor="text1"/>
          <w:sz w:val="24"/>
          <w:szCs w:val="24"/>
        </w:rPr>
      </w:pPr>
      <w:r>
        <w:rPr>
          <w:rFonts w:asciiTheme="majorHAnsi" w:eastAsiaTheme="majorEastAsia" w:hAnsiTheme="majorHAnsi" w:cstheme="majorBidi"/>
          <w:b/>
          <w:color w:val="000000" w:themeColor="text1"/>
          <w:sz w:val="24"/>
          <w:szCs w:val="24"/>
        </w:rPr>
        <w:t xml:space="preserve">Anaphylaxis </w:t>
      </w:r>
    </w:p>
    <w:p>
      <w:pPr>
        <w:jc w:val="both"/>
      </w:pPr>
      <w:r>
        <w:t xml:space="preserve">Anaphylaxis is a severe allergic reaction that occurs after exposure to an allergen. The most common allergens for school-aged children are nuts, eggs, cow’s milk, fish, shellfish, wheat, soy, sesame, latex, certain insect stings and medication. </w:t>
      </w:r>
    </w:p>
    <w:p>
      <w:pPr>
        <w:jc w:val="both"/>
        <w:rPr>
          <w:i/>
        </w:rPr>
      </w:pPr>
      <w:r>
        <w:rPr>
          <w:i/>
        </w:rPr>
        <w:t>Symptoms</w:t>
      </w:r>
    </w:p>
    <w:p>
      <w:pPr>
        <w:jc w:val="both"/>
      </w:pPr>
      <w:r>
        <w:t>Signs and symptoms of a mild to moderate allergic reaction can include:</w:t>
      </w:r>
    </w:p>
    <w:p>
      <w:pPr>
        <w:pStyle w:val="ListParagraph"/>
        <w:numPr>
          <w:ilvl w:val="0"/>
          <w:numId w:val="3"/>
        </w:numPr>
        <w:jc w:val="both"/>
        <w:rPr>
          <w:i/>
        </w:rPr>
      </w:pPr>
      <w:r>
        <w:t>swelling of the lips, face and eyes</w:t>
      </w:r>
    </w:p>
    <w:p>
      <w:pPr>
        <w:pStyle w:val="ListParagraph"/>
        <w:numPr>
          <w:ilvl w:val="0"/>
          <w:numId w:val="3"/>
        </w:numPr>
        <w:jc w:val="both"/>
        <w:rPr>
          <w:i/>
        </w:rPr>
      </w:pPr>
      <w:r>
        <w:t>hives or welts</w:t>
      </w:r>
    </w:p>
    <w:p>
      <w:pPr>
        <w:pStyle w:val="ListParagraph"/>
        <w:numPr>
          <w:ilvl w:val="0"/>
          <w:numId w:val="3"/>
        </w:numPr>
        <w:jc w:val="both"/>
        <w:rPr>
          <w:i/>
        </w:rPr>
      </w:pPr>
      <w:proofErr w:type="gramStart"/>
      <w:r>
        <w:t>tingling</w:t>
      </w:r>
      <w:proofErr w:type="gramEnd"/>
      <w:r>
        <w:t xml:space="preserve"> in the mouth.</w:t>
      </w:r>
    </w:p>
    <w:p>
      <w:pPr>
        <w:jc w:val="both"/>
      </w:pPr>
      <w:r>
        <w:t>Signs and symptoms of anaphylaxis, a severe allergic reaction, can include:</w:t>
      </w:r>
    </w:p>
    <w:p>
      <w:pPr>
        <w:pStyle w:val="ListParagraph"/>
        <w:numPr>
          <w:ilvl w:val="0"/>
          <w:numId w:val="4"/>
        </w:numPr>
        <w:jc w:val="both"/>
      </w:pPr>
      <w:r>
        <w:t>difficult/noisy breathing</w:t>
      </w:r>
    </w:p>
    <w:p>
      <w:pPr>
        <w:pStyle w:val="ListParagraph"/>
        <w:numPr>
          <w:ilvl w:val="0"/>
          <w:numId w:val="4"/>
        </w:numPr>
        <w:jc w:val="both"/>
      </w:pPr>
      <w:r>
        <w:t>swelling of tongue</w:t>
      </w:r>
    </w:p>
    <w:p>
      <w:pPr>
        <w:pStyle w:val="ListParagraph"/>
        <w:numPr>
          <w:ilvl w:val="0"/>
          <w:numId w:val="4"/>
        </w:numPr>
        <w:jc w:val="both"/>
      </w:pPr>
      <w:r>
        <w:t>difficulty talking and/or hoarse voice</w:t>
      </w:r>
    </w:p>
    <w:p>
      <w:pPr>
        <w:pStyle w:val="ListParagraph"/>
        <w:numPr>
          <w:ilvl w:val="0"/>
          <w:numId w:val="4"/>
        </w:numPr>
        <w:jc w:val="both"/>
      </w:pPr>
      <w:r>
        <w:t>wheeze or persistent cough</w:t>
      </w:r>
    </w:p>
    <w:p>
      <w:pPr>
        <w:pStyle w:val="ListParagraph"/>
        <w:numPr>
          <w:ilvl w:val="0"/>
          <w:numId w:val="4"/>
        </w:numPr>
        <w:jc w:val="both"/>
      </w:pPr>
      <w:r>
        <w:t>persistent dizziness or collapse</w:t>
      </w:r>
    </w:p>
    <w:p>
      <w:pPr>
        <w:pStyle w:val="ListParagraph"/>
        <w:numPr>
          <w:ilvl w:val="0"/>
          <w:numId w:val="4"/>
        </w:numPr>
        <w:jc w:val="both"/>
      </w:pPr>
      <w:r>
        <w:t>student appears pale or floppy</w:t>
      </w:r>
    </w:p>
    <w:p>
      <w:pPr>
        <w:pStyle w:val="ListParagraph"/>
        <w:numPr>
          <w:ilvl w:val="0"/>
          <w:numId w:val="4"/>
        </w:numPr>
        <w:jc w:val="both"/>
      </w:pPr>
      <w:proofErr w:type="gramStart"/>
      <w:r>
        <w:lastRenderedPageBreak/>
        <w:t>abdominal</w:t>
      </w:r>
      <w:proofErr w:type="gramEnd"/>
      <w:r>
        <w:t xml:space="preserve"> pain and/or vomiting.</w:t>
      </w:r>
    </w:p>
    <w:p>
      <w:pPr>
        <w:jc w:val="both"/>
      </w:pPr>
      <w:r>
        <w:t xml:space="preserve">Symptoms usually develop within ten minutes and up to two hours after exposure to an allergen, but can appear within a few minutes. </w:t>
      </w:r>
    </w:p>
    <w:p>
      <w:pPr>
        <w:jc w:val="both"/>
        <w:rPr>
          <w:i/>
        </w:rPr>
      </w:pPr>
      <w:r>
        <w:rPr>
          <w:i/>
        </w:rPr>
        <w:t>Treatment</w:t>
      </w:r>
    </w:p>
    <w:p>
      <w:pPr>
        <w:jc w:val="both"/>
      </w:pPr>
      <w:r>
        <w:t>Adrenaline given as an injection into the muscle of the outer mid-thigh is the first aid treatment for anaphylaxis.</w:t>
      </w:r>
    </w:p>
    <w:p>
      <w:pPr>
        <w:jc w:val="both"/>
      </w:pPr>
      <w:r>
        <w:t>Individuals diagnosed as being at risk of anaphylaxis are prescribed an adrenaline autoinjector for use in an emergency. These adrenaline autoinjectors are designed so that anyone can use them in an emergency.</w:t>
      </w:r>
    </w:p>
    <w:p>
      <w:pPr>
        <w:pStyle w:val="Heading3"/>
        <w:spacing w:after="120"/>
        <w:jc w:val="both"/>
        <w:rPr>
          <w:color w:val="000000" w:themeColor="text1"/>
        </w:rPr>
      </w:pPr>
      <w:r>
        <w:rPr>
          <w:b w:val="0"/>
          <w:color w:val="000000" w:themeColor="text1"/>
        </w:rPr>
        <w:t xml:space="preserve">Individual Anaphylaxis Management Plans </w:t>
      </w:r>
    </w:p>
    <w:p>
      <w:pPr>
        <w:tabs>
          <w:tab w:val="num" w:pos="170"/>
        </w:tabs>
        <w:spacing w:after="180" w:line="240" w:lineRule="auto"/>
        <w:jc w:val="both"/>
      </w:pPr>
      <w:r>
        <w:t xml:space="preserve">All students at Toolamba PS who are diagnosed by a medical practitioner as being at risk of suffering from an anaphylactic reaction must have an Individual Anaphylaxis Management Plan. When notified of an anaphylaxis diagnosis, the principal of Toolamba PS is responsible for developing a plan in consultation with the student’s parents/carers. </w:t>
      </w:r>
    </w:p>
    <w:p>
      <w:pPr>
        <w:jc w:val="both"/>
      </w:pPr>
      <w:r>
        <w:t xml:space="preserve">Where necessary, an Individual Anaphylaxis Management Plan will be in place as soon as practicable after a student enrols at Toolamba PS and where possible, before the student’s first day. </w:t>
      </w:r>
    </w:p>
    <w:p>
      <w:pPr>
        <w:tabs>
          <w:tab w:val="num" w:pos="170"/>
        </w:tabs>
        <w:spacing w:after="180" w:line="240" w:lineRule="auto"/>
        <w:jc w:val="both"/>
      </w:pPr>
      <w:r>
        <w:t>Parents and carers must:</w:t>
      </w:r>
    </w:p>
    <w:p>
      <w:pPr>
        <w:pStyle w:val="ListParagraph"/>
        <w:numPr>
          <w:ilvl w:val="0"/>
          <w:numId w:val="5"/>
        </w:numPr>
        <w:tabs>
          <w:tab w:val="num" w:pos="170"/>
        </w:tabs>
        <w:spacing w:after="84" w:line="240" w:lineRule="auto"/>
        <w:jc w:val="both"/>
        <w:rPr>
          <w:rFonts w:eastAsia="Times New Roman" w:cstheme="minorHAnsi"/>
          <w:color w:val="000000"/>
        </w:rPr>
      </w:pPr>
      <w:r>
        <w:rPr>
          <w:rFonts w:eastAsia="Times New Roman" w:cstheme="minorHAnsi"/>
          <w:color w:val="000000"/>
        </w:rPr>
        <w:t>obtain an ASCIA Action Plan for Anaphylaxis from the student’s medical practitioner and provide a copy to the school as soon as practicable</w:t>
      </w:r>
    </w:p>
    <w:p>
      <w:pPr>
        <w:pStyle w:val="ListParagraph"/>
        <w:numPr>
          <w:ilvl w:val="0"/>
          <w:numId w:val="5"/>
        </w:numPr>
        <w:tabs>
          <w:tab w:val="num" w:pos="170"/>
        </w:tabs>
        <w:spacing w:after="84" w:line="240" w:lineRule="auto"/>
        <w:jc w:val="both"/>
        <w:rPr>
          <w:rFonts w:eastAsia="Times New Roman" w:cstheme="minorHAnsi"/>
          <w:color w:val="000000"/>
        </w:rPr>
      </w:pPr>
      <w:r>
        <w:rPr>
          <w:rFonts w:eastAsia="Times New Roman" w:cstheme="minorHAnsi"/>
          <w:color w:val="000000"/>
        </w:rPr>
        <w:t>immediately inform the school in writing if there is a relevant change in the student’s medical condition and obtain an updated ASCIA Action Plan for Anaphylaxis</w:t>
      </w:r>
    </w:p>
    <w:p>
      <w:pPr>
        <w:pStyle w:val="ListParagraph"/>
        <w:numPr>
          <w:ilvl w:val="0"/>
          <w:numId w:val="5"/>
        </w:numPr>
        <w:tabs>
          <w:tab w:val="num" w:pos="170"/>
        </w:tabs>
        <w:spacing w:after="84" w:line="240" w:lineRule="auto"/>
        <w:jc w:val="both"/>
        <w:rPr>
          <w:rFonts w:eastAsia="Times New Roman" w:cstheme="minorHAnsi"/>
          <w:color w:val="000000"/>
        </w:rPr>
      </w:pPr>
      <w:r>
        <w:rPr>
          <w:rFonts w:eastAsia="Times New Roman" w:cstheme="minorHAnsi"/>
          <w:color w:val="000000"/>
        </w:rPr>
        <w:t>provide an up-to-date photo of the student for the ASCIA Action Plan for Anaphylaxis when that Plan is provided to the school and each time it is reviewed</w:t>
      </w:r>
    </w:p>
    <w:p>
      <w:pPr>
        <w:pStyle w:val="ListParagraph"/>
        <w:numPr>
          <w:ilvl w:val="0"/>
          <w:numId w:val="5"/>
        </w:numPr>
        <w:tabs>
          <w:tab w:val="num" w:pos="170"/>
        </w:tabs>
        <w:spacing w:after="180" w:line="240" w:lineRule="auto"/>
        <w:jc w:val="both"/>
        <w:rPr>
          <w:rFonts w:eastAsia="Times New Roman" w:cstheme="minorHAnsi"/>
          <w:color w:val="000000"/>
        </w:rPr>
      </w:pPr>
      <w:r>
        <w:rPr>
          <w:rFonts w:eastAsia="Times New Roman" w:cstheme="minorHAnsi"/>
          <w:color w:val="000000"/>
        </w:rPr>
        <w:t>provide the school with a current adrenaline autoinjector for the student that has not expired;</w:t>
      </w:r>
    </w:p>
    <w:p>
      <w:pPr>
        <w:pStyle w:val="ListParagraph"/>
        <w:numPr>
          <w:ilvl w:val="0"/>
          <w:numId w:val="5"/>
        </w:numPr>
        <w:tabs>
          <w:tab w:val="num" w:pos="170"/>
        </w:tabs>
        <w:spacing w:after="180" w:line="240" w:lineRule="auto"/>
        <w:jc w:val="both"/>
        <w:rPr>
          <w:rFonts w:eastAsia="Times New Roman" w:cstheme="minorHAnsi"/>
          <w:color w:val="000000"/>
        </w:rPr>
      </w:pPr>
      <w:proofErr w:type="gramStart"/>
      <w:r>
        <w:rPr>
          <w:rFonts w:eastAsia="Times New Roman" w:cstheme="minorHAnsi"/>
          <w:color w:val="000000"/>
        </w:rPr>
        <w:t>participate</w:t>
      </w:r>
      <w:proofErr w:type="gramEnd"/>
      <w:r>
        <w:rPr>
          <w:rFonts w:eastAsia="Times New Roman" w:cstheme="minorHAnsi"/>
          <w:color w:val="000000"/>
        </w:rPr>
        <w:t xml:space="preserve"> in annual reviews of the student’s Plan.</w:t>
      </w:r>
    </w:p>
    <w:p>
      <w:pPr>
        <w:jc w:val="both"/>
      </w:pPr>
      <w:r>
        <w:t xml:space="preserve">Each student’s Individual Anaphylaxis Management Plan must include: </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information about the student’s medical condition that relates to allergies and the potential for anaphylactic reaction, including the type of allergies the student has</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information about the signs or symptoms the student might exhibit in the event of an allergic reaction based on a written diagnosis from a medical practitioner</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the name of the person(s) responsible for implementing the risk minimisation strategies, which have been identified in the Plan</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information about where the student's medication will be stored</w:t>
      </w:r>
    </w:p>
    <w:p>
      <w:pPr>
        <w:pStyle w:val="ListParagraph"/>
        <w:numPr>
          <w:ilvl w:val="0"/>
          <w:numId w:val="6"/>
        </w:numPr>
        <w:tabs>
          <w:tab w:val="num" w:pos="170"/>
        </w:tabs>
        <w:spacing w:after="84" w:line="240" w:lineRule="auto"/>
        <w:jc w:val="both"/>
        <w:rPr>
          <w:rFonts w:eastAsia="Times New Roman" w:cstheme="minorHAnsi"/>
          <w:color w:val="000000"/>
        </w:rPr>
      </w:pPr>
      <w:r>
        <w:rPr>
          <w:rFonts w:eastAsia="Times New Roman" w:cstheme="minorHAnsi"/>
          <w:color w:val="000000"/>
        </w:rPr>
        <w:t>the student's emergency contact details</w:t>
      </w:r>
    </w:p>
    <w:p>
      <w:pPr>
        <w:pStyle w:val="ListParagraph"/>
        <w:numPr>
          <w:ilvl w:val="0"/>
          <w:numId w:val="6"/>
        </w:numPr>
        <w:tabs>
          <w:tab w:val="num" w:pos="170"/>
        </w:tabs>
        <w:spacing w:after="180" w:line="240" w:lineRule="auto"/>
        <w:jc w:val="both"/>
        <w:rPr>
          <w:rFonts w:eastAsia="Times New Roman" w:cstheme="minorHAnsi"/>
          <w:color w:val="000000"/>
        </w:rPr>
      </w:pPr>
      <w:proofErr w:type="gramStart"/>
      <w:r>
        <w:rPr>
          <w:rFonts w:eastAsia="Times New Roman" w:cstheme="minorHAnsi"/>
          <w:color w:val="000000"/>
        </w:rPr>
        <w:t>an</w:t>
      </w:r>
      <w:proofErr w:type="gramEnd"/>
      <w:r>
        <w:rPr>
          <w:rFonts w:eastAsia="Times New Roman" w:cstheme="minorHAnsi"/>
          <w:color w:val="000000"/>
        </w:rPr>
        <w:t xml:space="preserve"> up-to-date ASCIA Action Plan for Anaphylaxis completed by the student’s medical practitioner.</w:t>
      </w:r>
    </w:p>
    <w:p>
      <w:pPr>
        <w:jc w:val="both"/>
        <w:rPr>
          <w:i/>
        </w:rPr>
      </w:pPr>
      <w:r>
        <w:rPr>
          <w:i/>
        </w:rPr>
        <w:t xml:space="preserve">Review and updates to Individual Anaphylaxis Plans </w:t>
      </w:r>
    </w:p>
    <w:p>
      <w:pPr>
        <w:tabs>
          <w:tab w:val="num" w:pos="170"/>
        </w:tabs>
        <w:spacing w:after="180" w:line="240" w:lineRule="auto"/>
        <w:jc w:val="both"/>
      </w:pPr>
      <w:r>
        <w:t xml:space="preserve">A student’s Individual Anaphylaxis Plan will be reviewed and updated on an annual basis in consultation with the student’s parents/carers. The plan will also be reviewed and, where necessary, updated in the following circumstances: </w:t>
      </w:r>
    </w:p>
    <w:p>
      <w:pPr>
        <w:pStyle w:val="ListParagraph"/>
        <w:numPr>
          <w:ilvl w:val="0"/>
          <w:numId w:val="7"/>
        </w:numPr>
        <w:tabs>
          <w:tab w:val="num" w:pos="170"/>
        </w:tabs>
        <w:spacing w:after="180" w:line="240" w:lineRule="auto"/>
        <w:jc w:val="both"/>
        <w:rPr>
          <w:rFonts w:eastAsia="Times New Roman" w:cstheme="minorHAnsi"/>
          <w:color w:val="000000"/>
        </w:rPr>
      </w:pPr>
      <w:r>
        <w:rPr>
          <w:rFonts w:eastAsia="Times New Roman" w:cstheme="minorHAnsi"/>
          <w:color w:val="000000"/>
        </w:rPr>
        <w:lastRenderedPageBreak/>
        <w:t>as soon as practicable after the student has an anaphylactic reaction at school</w:t>
      </w:r>
    </w:p>
    <w:p>
      <w:pPr>
        <w:pStyle w:val="ListParagraph"/>
        <w:numPr>
          <w:ilvl w:val="0"/>
          <w:numId w:val="7"/>
        </w:numPr>
        <w:tabs>
          <w:tab w:val="num" w:pos="170"/>
        </w:tabs>
        <w:spacing w:after="180" w:line="240" w:lineRule="auto"/>
        <w:jc w:val="both"/>
        <w:rPr>
          <w:rFonts w:eastAsia="Times New Roman" w:cstheme="minorHAnsi"/>
          <w:color w:val="000000"/>
        </w:rPr>
      </w:pPr>
      <w:r>
        <w:rPr>
          <w:rFonts w:eastAsia="Times New Roman" w:cstheme="minorHAnsi"/>
          <w:color w:val="000000"/>
        </w:rPr>
        <w:t>if the student’s medical condition, insofar as it relates to allergy and the potential for anaphylactic reaction, changes</w:t>
      </w:r>
    </w:p>
    <w:p>
      <w:pPr>
        <w:pStyle w:val="ListParagraph"/>
        <w:numPr>
          <w:ilvl w:val="0"/>
          <w:numId w:val="7"/>
        </w:numPr>
        <w:tabs>
          <w:tab w:val="num" w:pos="170"/>
        </w:tabs>
        <w:spacing w:after="180" w:line="240" w:lineRule="auto"/>
        <w:jc w:val="both"/>
        <w:rPr>
          <w:rFonts w:eastAsia="Times New Roman" w:cstheme="minorHAnsi"/>
          <w:color w:val="000000"/>
        </w:rPr>
      </w:pPr>
      <w:proofErr w:type="gramStart"/>
      <w:r>
        <w:rPr>
          <w:rFonts w:eastAsia="Times New Roman" w:cstheme="minorHAnsi"/>
          <w:color w:val="000000"/>
        </w:rPr>
        <w:t>when</w:t>
      </w:r>
      <w:proofErr w:type="gramEnd"/>
      <w:r>
        <w:rPr>
          <w:rFonts w:eastAsia="Times New Roman" w:cstheme="minorHAnsi"/>
          <w:color w:val="000000"/>
        </w:rPr>
        <w:t xml:space="preserve"> the student is participating in an off-site activity, including camps and excursions, or at special events including fetes and concerts. </w:t>
      </w:r>
    </w:p>
    <w:p>
      <w:pPr>
        <w:tabs>
          <w:tab w:val="num" w:pos="170"/>
        </w:tabs>
        <w:spacing w:after="180" w:line="240" w:lineRule="auto"/>
        <w:jc w:val="both"/>
      </w:pPr>
      <w:r>
        <w:t xml:space="preserve">Our school may also consider updating a student’s Individual Anaphylaxis Management Plan if there is an identified and significant increase in the student’s potential risk of exposure to allergens at school. </w:t>
      </w:r>
    </w:p>
    <w:p>
      <w:pPr>
        <w:pStyle w:val="Heading3"/>
        <w:spacing w:after="120"/>
        <w:jc w:val="both"/>
        <w:rPr>
          <w:color w:val="000000" w:themeColor="text1"/>
        </w:rPr>
      </w:pPr>
      <w:r>
        <w:rPr>
          <w:b w:val="0"/>
          <w:color w:val="000000" w:themeColor="text1"/>
        </w:rPr>
        <w:t>Location of plans and adrenaline autoinjectors</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Adrenaline autoinjectors for individual students will be stored in the first aid room.</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Each adrenaline autoinjectors be in a container clearly labelled with the student’s name/photo and be stored with a copy of the student’s ASCIA Action Plan.</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An adrenaline autoinjector for general use be clearly labelled and distinguishable from those for students at risk of anaphylaxis; and</w:t>
      </w:r>
    </w:p>
    <w:p>
      <w:pPr>
        <w:numPr>
          <w:ilvl w:val="0"/>
          <w:numId w:val="22"/>
        </w:numPr>
        <w:spacing w:after="0" w:line="240" w:lineRule="auto"/>
        <w:rPr>
          <w:rFonts w:eastAsia="Times New Roman" w:cs="Times New Roman"/>
          <w:bCs/>
          <w:sz w:val="24"/>
          <w:szCs w:val="24"/>
        </w:rPr>
      </w:pPr>
      <w:r>
        <w:rPr>
          <w:rFonts w:eastAsia="Times New Roman" w:cs="Times New Roman"/>
          <w:bCs/>
          <w:sz w:val="24"/>
          <w:szCs w:val="24"/>
        </w:rPr>
        <w:t>Adrenaline autoinjectors for individual students will be signed in and out when taken from its usual place, e.g. for camps, excursions and out of school hours care (OSHC)</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Toolamba Primary School has a designated school staff member (SSO- office administration) to conduct regular reviews of the adrenaline autoinjectors to ensure they are not out of date.</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If the designated staff member identifies any adrenaline autoinjectors which are out of date, they will complete the following:</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Send a written reminder to the student’s parents to replace the adrenaline autoinjector;</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Advise the Principal that an adrenaline autoinjector needs to be replaced by a parent; and</w:t>
      </w:r>
    </w:p>
    <w:p>
      <w:pPr>
        <w:numPr>
          <w:ilvl w:val="0"/>
          <w:numId w:val="23"/>
        </w:numPr>
        <w:spacing w:after="0" w:line="240" w:lineRule="auto"/>
        <w:rPr>
          <w:rFonts w:eastAsia="Times New Roman" w:cs="Times New Roman"/>
          <w:bCs/>
          <w:sz w:val="24"/>
          <w:szCs w:val="24"/>
        </w:rPr>
      </w:pPr>
      <w:r>
        <w:rPr>
          <w:rFonts w:eastAsia="Times New Roman" w:cs="Times New Roman"/>
          <w:bCs/>
          <w:sz w:val="24"/>
          <w:szCs w:val="24"/>
        </w:rPr>
        <w:t>Work with the Principal to prepare an interim Individual Anaphylaxis Management Plan pending the receipt of the replacement adrenaline autoinjector.</w:t>
      </w:r>
    </w:p>
    <w:p>
      <w:pPr>
        <w:spacing w:after="0" w:line="240" w:lineRule="auto"/>
        <w:rPr>
          <w:rFonts w:eastAsia="Times New Roman" w:cs="Times New Roman"/>
          <w:bCs/>
          <w:sz w:val="24"/>
          <w:szCs w:val="24"/>
        </w:rPr>
      </w:pPr>
    </w:p>
    <w:p>
      <w:pPr>
        <w:numPr>
          <w:ilvl w:val="0"/>
          <w:numId w:val="24"/>
        </w:numPr>
        <w:shd w:val="clear" w:color="auto" w:fill="FFFFFF"/>
        <w:spacing w:after="0" w:line="240" w:lineRule="auto"/>
        <w:rPr>
          <w:rFonts w:eastAsia="Times New Roman" w:cs="Times New Roman"/>
          <w:b/>
          <w:bCs/>
          <w:sz w:val="28"/>
          <w:szCs w:val="28"/>
        </w:rPr>
      </w:pPr>
      <w:r>
        <w:rPr>
          <w:rFonts w:eastAsia="Times New Roman" w:cs="Times New Roman"/>
          <w:b/>
          <w:bCs/>
          <w:sz w:val="28"/>
          <w:szCs w:val="28"/>
        </w:rPr>
        <w:t>Adrenaline Autoinjectors for General Use</w:t>
      </w:r>
    </w:p>
    <w:p>
      <w:pPr>
        <w:spacing w:after="0" w:line="240" w:lineRule="auto"/>
        <w:rPr>
          <w:rFonts w:eastAsia="Times New Roman" w:cs="Times New Roman"/>
          <w:bCs/>
          <w:sz w:val="24"/>
          <w:szCs w:val="24"/>
        </w:rPr>
      </w:pPr>
      <w:r>
        <w:rPr>
          <w:rFonts w:eastAsia="Times New Roman" w:cs="Times New Roman"/>
          <w:bCs/>
          <w:sz w:val="24"/>
          <w:szCs w:val="24"/>
        </w:rPr>
        <w:t>The school will purchase an appropriate number of additional adrenaline autoinjectors device(s) for general use and as a back-up to those supplied by parents/carers.  Noting the following:</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number of students enrolled at the school who have been diagnosed as being at risk of anaphylaxis;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accessibility of Adrenaline autoinjectors that have been provided by parents of students who have been diagnosed as being at risk of anaphylaxis;</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t>The availability and sufficient supply of adrenaline autoinjectors for general use is specified locations at the school, including in the school yard, and at excursions, camps and special events conducted and organised by the school; and</w:t>
      </w:r>
    </w:p>
    <w:p>
      <w:pPr>
        <w:numPr>
          <w:ilvl w:val="0"/>
          <w:numId w:val="25"/>
        </w:numPr>
        <w:spacing w:after="0" w:line="240" w:lineRule="auto"/>
        <w:rPr>
          <w:rFonts w:eastAsia="Times New Roman" w:cs="Times New Roman"/>
          <w:bCs/>
          <w:sz w:val="24"/>
          <w:szCs w:val="24"/>
        </w:rPr>
      </w:pPr>
      <w:r>
        <w:rPr>
          <w:rFonts w:eastAsia="Times New Roman" w:cs="Times New Roman"/>
          <w:bCs/>
          <w:sz w:val="24"/>
          <w:szCs w:val="24"/>
        </w:rPr>
        <w:lastRenderedPageBreak/>
        <w:t>The adrenaline autoinjectors for general use have a limited life, usually expiring within 12-18 months, and will need to be replaced at the school’s expense, either at the time of use or expiry, whichever is first.</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The two most common brands of autoinjector available in Australia are EpiPen® and Anapen®. These adrenaline autoinjectors are designed so that anyone can use them in an emergency.</w:t>
      </w:r>
    </w:p>
    <w:p>
      <w:pPr>
        <w:pStyle w:val="Heading3"/>
        <w:spacing w:after="120"/>
        <w:jc w:val="both"/>
        <w:rPr>
          <w:color w:val="000000" w:themeColor="text1"/>
        </w:rPr>
      </w:pPr>
      <w:r>
        <w:rPr>
          <w:b w:val="0"/>
          <w:color w:val="000000" w:themeColor="text1"/>
        </w:rPr>
        <w:t>Risk Minimisation Strategies</w:t>
      </w:r>
    </w:p>
    <w:p>
      <w:pPr>
        <w:spacing w:after="0" w:line="240" w:lineRule="auto"/>
        <w:rPr>
          <w:rFonts w:eastAsia="Times New Roman" w:cs="Times New Roman"/>
          <w:bCs/>
          <w:sz w:val="24"/>
          <w:szCs w:val="24"/>
        </w:rPr>
      </w:pPr>
      <w:r>
        <w:rPr>
          <w:rFonts w:eastAsia="Times New Roman" w:cs="Times New Roman"/>
          <w:bCs/>
          <w:sz w:val="24"/>
          <w:szCs w:val="24"/>
        </w:rPr>
        <w:t>It is important to remember that minimisation of the risk of anaphylaxis is everyone’s responsibility: the school (including the Principal and School Staff), parents, students and the broader school community.</w:t>
      </w:r>
    </w:p>
    <w:p>
      <w:pPr>
        <w:spacing w:after="0" w:line="240" w:lineRule="auto"/>
        <w:rPr>
          <w:rFonts w:eastAsia="Times New Roman" w:cs="Times New Roman"/>
          <w:bCs/>
          <w:sz w:val="24"/>
          <w:szCs w:val="24"/>
        </w:rPr>
      </w:pPr>
    </w:p>
    <w:p>
      <w:pPr>
        <w:spacing w:after="0" w:line="240" w:lineRule="auto"/>
        <w:rPr>
          <w:rFonts w:eastAsia="Times New Roman" w:cs="Times New Roman"/>
          <w:bCs/>
          <w:sz w:val="24"/>
          <w:szCs w:val="24"/>
        </w:rPr>
      </w:pPr>
      <w:r>
        <w:rPr>
          <w:rFonts w:eastAsia="Times New Roman" w:cs="Times New Roman"/>
          <w:bCs/>
          <w:sz w:val="24"/>
          <w:szCs w:val="24"/>
        </w:rPr>
        <w:t xml:space="preserve">The School will: </w:t>
      </w:r>
    </w:p>
    <w:p>
      <w:pPr>
        <w:spacing w:after="0" w:line="240" w:lineRule="auto"/>
        <w:rPr>
          <w:rFonts w:eastAsia="Times New Roman" w:cs="Times New Roman"/>
          <w:bCs/>
          <w:sz w:val="24"/>
          <w:szCs w:val="24"/>
        </w:rPr>
      </w:pPr>
    </w:p>
    <w:p>
      <w:pPr>
        <w:spacing w:after="0" w:line="240" w:lineRule="auto"/>
        <w:rPr>
          <w:rFonts w:eastAsia="Times New Roman" w:cs="Times New Roman"/>
          <w:b/>
          <w:bCs/>
          <w:sz w:val="24"/>
          <w:szCs w:val="24"/>
          <w:u w:val="single"/>
        </w:rPr>
      </w:pPr>
      <w:r>
        <w:rPr>
          <w:rFonts w:eastAsia="Times New Roman" w:cs="Times New Roman"/>
          <w:b/>
          <w:bCs/>
          <w:sz w:val="24"/>
          <w:szCs w:val="24"/>
          <w:u w:val="single"/>
        </w:rPr>
        <w:t>In school settings</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Classrooms</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Keep a copy of the student’s Individual Anaphylaxis Management Plan in the classroom attendance roll folder.  Be sure the ASCIA Action Plan is easily accessible even if the Adrenaline Autoinjector is kept in another location.</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Liaise with parents about food-related activities ahead of time.</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Use non-food treats where possible, but if food treats are used in the class it is recommended that Parents of students with food allergy provide a treat box with alternative treats.  Treat boxes should be clearly labelled and only handled by the student.</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Never give food from outside sources to a student who is at risk of anaphylaxis.</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Have regular discussions with students about the importance of washing hands, eating their own food and not sharing food.</w:t>
      </w:r>
    </w:p>
    <w:p>
      <w:pPr>
        <w:numPr>
          <w:ilvl w:val="0"/>
          <w:numId w:val="16"/>
        </w:numPr>
        <w:spacing w:after="0" w:line="240" w:lineRule="auto"/>
        <w:rPr>
          <w:rFonts w:eastAsia="Times New Roman" w:cs="Times New Roman"/>
          <w:bCs/>
          <w:sz w:val="24"/>
          <w:szCs w:val="24"/>
        </w:rPr>
      </w:pPr>
      <w:r>
        <w:rPr>
          <w:rFonts w:eastAsia="Times New Roman" w:cs="Times New Roman"/>
          <w:bCs/>
          <w:sz w:val="24"/>
          <w:szCs w:val="24"/>
        </w:rPr>
        <w:t xml:space="preserve">Casual relief teachers (CRTs), specialist teachers and volunteers will be made aware of any students at risk of anaphylaxis, the location of each student’s Individual Anaphylaxis Management Plan and the Adrenaline Autoinjector, the School’s Anaphylaxis Management Policy, and each individual person’s responsibility in managing an </w:t>
      </w:r>
      <w:proofErr w:type="gramStart"/>
      <w:r>
        <w:rPr>
          <w:rFonts w:eastAsia="Times New Roman" w:cs="Times New Roman"/>
          <w:bCs/>
          <w:sz w:val="24"/>
          <w:szCs w:val="24"/>
        </w:rPr>
        <w:t xml:space="preserve">incident  </w:t>
      </w:r>
      <w:proofErr w:type="spellStart"/>
      <w:r>
        <w:rPr>
          <w:rFonts w:eastAsia="Times New Roman" w:cs="Times New Roman"/>
          <w:bCs/>
          <w:sz w:val="24"/>
          <w:szCs w:val="24"/>
        </w:rPr>
        <w:t>ie</w:t>
      </w:r>
      <w:proofErr w:type="spellEnd"/>
      <w:proofErr w:type="gramEnd"/>
      <w:r>
        <w:rPr>
          <w:rFonts w:eastAsia="Times New Roman" w:cs="Times New Roman"/>
          <w:bCs/>
          <w:sz w:val="24"/>
          <w:szCs w:val="24"/>
        </w:rPr>
        <w:t xml:space="preserve"> seeking a trained staff member. </w:t>
      </w:r>
    </w:p>
    <w:p>
      <w:pPr>
        <w:spacing w:after="0" w:line="240" w:lineRule="auto"/>
        <w:rPr>
          <w:rFonts w:eastAsia="Times New Roman" w:cs="Times New Roman"/>
          <w:bCs/>
          <w:sz w:val="24"/>
          <w:szCs w:val="24"/>
        </w:rPr>
      </w:pPr>
      <w:r>
        <w:rPr>
          <w:rFonts w:eastAsia="Times New Roman" w:cs="Times New Roman"/>
          <w:bCs/>
          <w:sz w:val="24"/>
          <w:szCs w:val="24"/>
        </w:rPr>
        <w:t xml:space="preserve"> </w:t>
      </w: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Student lunches/Canteens/Parent Association Events</w:t>
      </w:r>
    </w:p>
    <w:p>
      <w:pPr>
        <w:numPr>
          <w:ilvl w:val="0"/>
          <w:numId w:val="17"/>
        </w:numPr>
        <w:spacing w:after="0" w:line="240" w:lineRule="auto"/>
        <w:rPr>
          <w:rFonts w:eastAsia="Times New Roman" w:cs="Times New Roman"/>
          <w:bCs/>
          <w:sz w:val="24"/>
          <w:szCs w:val="24"/>
        </w:rPr>
      </w:pPr>
      <w:r>
        <w:rPr>
          <w:rFonts w:eastAsia="Times New Roman" w:cs="Times New Roman"/>
          <w:bCs/>
          <w:sz w:val="24"/>
          <w:szCs w:val="24"/>
        </w:rPr>
        <w:t xml:space="preserve">Food banning is not generally recommended.  Instead a ‘no-sharing’ with the students with food allergy approach is recommended for food, utensils and food containers.  This approach is used for students with all food allergies, including egg, shellfish, nuts, dairy etc.  </w:t>
      </w:r>
    </w:p>
    <w:p>
      <w:pPr>
        <w:numPr>
          <w:ilvl w:val="0"/>
          <w:numId w:val="17"/>
        </w:numPr>
        <w:spacing w:after="0" w:line="240" w:lineRule="auto"/>
        <w:rPr>
          <w:rFonts w:eastAsia="Times New Roman" w:cs="Times New Roman"/>
          <w:bCs/>
          <w:sz w:val="24"/>
          <w:szCs w:val="24"/>
        </w:rPr>
      </w:pPr>
      <w:r>
        <w:rPr>
          <w:rFonts w:eastAsia="Times New Roman" w:cs="Times New Roman"/>
          <w:bCs/>
          <w:sz w:val="24"/>
          <w:szCs w:val="24"/>
        </w:rPr>
        <w:t>Parents are asked to include an ingredients list when providing food for school events such as cake stalls or lunches.</w:t>
      </w:r>
    </w:p>
    <w:p>
      <w:pPr>
        <w:numPr>
          <w:ilvl w:val="0"/>
          <w:numId w:val="17"/>
        </w:numPr>
        <w:spacing w:after="0" w:line="240" w:lineRule="auto"/>
        <w:rPr>
          <w:rFonts w:eastAsia="Times New Roman" w:cs="Times New Roman"/>
          <w:bCs/>
          <w:sz w:val="24"/>
          <w:szCs w:val="24"/>
        </w:rPr>
      </w:pPr>
      <w:r>
        <w:rPr>
          <w:rFonts w:eastAsia="Times New Roman" w:cs="Times New Roman"/>
          <w:bCs/>
          <w:sz w:val="24"/>
          <w:szCs w:val="24"/>
        </w:rPr>
        <w:t>Be wary of contamination of other foods when preparing, handling or displaying food.  For example, a tiny amount of butter or peanut butter left on a knife and used elsewhere may be enough to cause a severe reaction in someone who is at risk of anaphylaxis from cow’s milk products or peanuts.</w:t>
      </w:r>
    </w:p>
    <w:p>
      <w:pPr>
        <w:numPr>
          <w:ilvl w:val="0"/>
          <w:numId w:val="17"/>
        </w:numPr>
        <w:spacing w:after="0" w:line="240" w:lineRule="auto"/>
        <w:rPr>
          <w:rFonts w:eastAsia="Times New Roman" w:cs="Times New Roman"/>
          <w:bCs/>
          <w:sz w:val="24"/>
          <w:szCs w:val="24"/>
        </w:rPr>
      </w:pPr>
      <w:r>
        <w:rPr>
          <w:rFonts w:eastAsia="Times New Roman" w:cs="Times New Roman"/>
          <w:bCs/>
          <w:sz w:val="24"/>
          <w:szCs w:val="24"/>
        </w:rPr>
        <w:t xml:space="preserve">Canteen staff (whether internal or external) should be able to demonstrate satisfactory training in food allergen management and its implications on </w:t>
      </w:r>
      <w:r>
        <w:rPr>
          <w:rFonts w:eastAsia="Times New Roman" w:cs="Times New Roman"/>
          <w:bCs/>
          <w:sz w:val="24"/>
          <w:szCs w:val="24"/>
        </w:rPr>
        <w:lastRenderedPageBreak/>
        <w:t xml:space="preserve">food-handling practices, including knowledge of the major food allergens triggering anaphylaxis, cross-contamination issues specific to food allergy, label reading, </w:t>
      </w:r>
      <w:proofErr w:type="spellStart"/>
      <w:r>
        <w:rPr>
          <w:rFonts w:eastAsia="Times New Roman" w:cs="Times New Roman"/>
          <w:bCs/>
          <w:sz w:val="24"/>
          <w:szCs w:val="24"/>
        </w:rPr>
        <w:t>etc</w:t>
      </w:r>
      <w:proofErr w:type="spellEnd"/>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 xml:space="preserve">Yard </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If Toolamba Primary School has a student who is at risk of anaphylaxis, sufficient School Staff on yard duty must be trained in the administration of the Adrenaline Autoinjector (i.e. EpiPen® Anapen®) to be able to respond quickly to an anaphylactic reaction if needed.</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A nominated staff member will carry copies of each students Anaphylaxis Management Plan and Adrenaline Autoinjector (i.e. EpiPen® Anapen®)  (remember than an anaphylactic reaction can occur in as little as a few minutes)</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If a reaction occurs in the yard. All staff on yard duty must be aware of the School’s Emergency Response Procedures and how to notify the general office/first aid team of an anaphylactic reaction in the yard.</w:t>
      </w:r>
    </w:p>
    <w:p>
      <w:pPr>
        <w:numPr>
          <w:ilvl w:val="0"/>
          <w:numId w:val="18"/>
        </w:numPr>
        <w:spacing w:after="0" w:line="240" w:lineRule="auto"/>
        <w:rPr>
          <w:rFonts w:eastAsia="Times New Roman" w:cs="Times New Roman"/>
          <w:bCs/>
          <w:sz w:val="24"/>
          <w:szCs w:val="24"/>
        </w:rPr>
      </w:pPr>
      <w:r>
        <w:rPr>
          <w:rFonts w:eastAsia="Times New Roman" w:cs="Times New Roman"/>
          <w:bCs/>
          <w:sz w:val="24"/>
          <w:szCs w:val="24"/>
        </w:rPr>
        <w:t xml:space="preserve">Photos of students with an Individual Anaphylaxis Management Plan are displayed in the staff room, in class attendance books and displayed in the staff office areas to ensure that yard duty staff are able to identify, by face, those students at risk of anaphylaxis. </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 xml:space="preserve">Special Events (e.g. sporting events, incursions, class parties, </w:t>
      </w:r>
      <w:proofErr w:type="spellStart"/>
      <w:r>
        <w:rPr>
          <w:rFonts w:eastAsia="Times New Roman" w:cs="Times New Roman"/>
          <w:b/>
          <w:bCs/>
          <w:sz w:val="24"/>
          <w:szCs w:val="24"/>
        </w:rPr>
        <w:t>etc</w:t>
      </w:r>
      <w:proofErr w:type="spellEnd"/>
      <w:r>
        <w:rPr>
          <w:rFonts w:eastAsia="Times New Roman" w:cs="Times New Roman"/>
          <w:b/>
          <w:bCs/>
          <w:sz w:val="24"/>
          <w:szCs w:val="24"/>
        </w:rPr>
        <w:t>)</w:t>
      </w:r>
    </w:p>
    <w:p>
      <w:pPr>
        <w:numPr>
          <w:ilvl w:val="0"/>
          <w:numId w:val="19"/>
        </w:numPr>
        <w:spacing w:after="0" w:line="240" w:lineRule="auto"/>
        <w:rPr>
          <w:rFonts w:eastAsia="Times New Roman" w:cs="Times New Roman"/>
          <w:bCs/>
          <w:sz w:val="24"/>
          <w:szCs w:val="24"/>
        </w:rPr>
      </w:pPr>
      <w:r>
        <w:rPr>
          <w:rFonts w:eastAsia="Times New Roman" w:cs="Times New Roman"/>
          <w:bCs/>
          <w:sz w:val="24"/>
          <w:szCs w:val="24"/>
        </w:rPr>
        <w:t>If Toolamba Primary School has a student at risk of anaphylaxis, sufficient School Staff supervising the special event must be trained in the administration of an Adrenaline Autoinjector to be able to respond quickly to an anaphylactic reaction if required.</w:t>
      </w:r>
    </w:p>
    <w:p>
      <w:pPr>
        <w:numPr>
          <w:ilvl w:val="0"/>
          <w:numId w:val="19"/>
        </w:numPr>
        <w:spacing w:after="0" w:line="240" w:lineRule="auto"/>
        <w:rPr>
          <w:rFonts w:eastAsia="Times New Roman" w:cs="Times New Roman"/>
          <w:bCs/>
          <w:sz w:val="24"/>
          <w:szCs w:val="24"/>
        </w:rPr>
      </w:pPr>
      <w:r>
        <w:rPr>
          <w:rFonts w:eastAsia="Times New Roman" w:cs="Times New Roman"/>
          <w:bCs/>
          <w:sz w:val="24"/>
          <w:szCs w:val="24"/>
        </w:rPr>
        <w:t>School staff should avoid using food in activities or games, including as rewards.</w:t>
      </w:r>
    </w:p>
    <w:p>
      <w:pPr>
        <w:numPr>
          <w:ilvl w:val="0"/>
          <w:numId w:val="19"/>
        </w:numPr>
        <w:spacing w:after="0" w:line="240" w:lineRule="auto"/>
        <w:rPr>
          <w:rFonts w:eastAsia="Times New Roman" w:cs="Times New Roman"/>
          <w:bCs/>
          <w:sz w:val="24"/>
          <w:szCs w:val="24"/>
        </w:rPr>
      </w:pPr>
      <w:r>
        <w:rPr>
          <w:rFonts w:eastAsia="Times New Roman" w:cs="Times New Roman"/>
          <w:bCs/>
          <w:sz w:val="24"/>
          <w:szCs w:val="24"/>
        </w:rPr>
        <w:t>For special occasions, School Staff should consult parents in advance to either develop an alternative food menu or request the Parents to send a meal for the student.</w:t>
      </w:r>
    </w:p>
    <w:p>
      <w:pPr>
        <w:numPr>
          <w:ilvl w:val="0"/>
          <w:numId w:val="19"/>
        </w:numPr>
        <w:spacing w:after="0" w:line="240" w:lineRule="auto"/>
        <w:rPr>
          <w:rFonts w:eastAsia="Times New Roman" w:cs="Times New Roman"/>
          <w:bCs/>
          <w:sz w:val="24"/>
          <w:szCs w:val="24"/>
        </w:rPr>
      </w:pPr>
      <w:r>
        <w:rPr>
          <w:rFonts w:eastAsia="Times New Roman" w:cs="Times New Roman"/>
          <w:bCs/>
          <w:sz w:val="24"/>
          <w:szCs w:val="24"/>
        </w:rPr>
        <w:t>Parents of other students should be informed in advance about foods that may cause allergic reactions in students at risk of anaphylaxis and request that they avoid providing students with treats whilst they are at School or at a special School event.</w:t>
      </w:r>
    </w:p>
    <w:p>
      <w:pPr>
        <w:spacing w:after="0" w:line="240" w:lineRule="auto"/>
        <w:rPr>
          <w:rFonts w:eastAsia="Times New Roman" w:cs="Times New Roman"/>
          <w:b/>
          <w:bCs/>
          <w:sz w:val="24"/>
          <w:szCs w:val="24"/>
          <w:u w:val="single"/>
        </w:rPr>
      </w:pPr>
      <w:r>
        <w:rPr>
          <w:rFonts w:eastAsia="Times New Roman" w:cs="Times New Roman"/>
          <w:b/>
          <w:bCs/>
          <w:sz w:val="24"/>
          <w:szCs w:val="24"/>
          <w:u w:val="single"/>
        </w:rPr>
        <w:t>Out of school settings</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Excursions/sporting events/field trips</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If Toolamba Primary School has a student at risk of anaphylaxis, sufficient school staff supervising the special event must be trained in the administration of an Adrenaline Autoinjector and be able to respond quickly to an anaphylactic reaction if required.</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The adrenaline autoinjector and a copy of the Individual Anaphylaxis Management Plan for each student at risk of anaphylaxis should be easily accessible and school staff must be aware of their exact location.</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Where there is a student at risk of anaphylaxis, it is the classroom teacher’s responsibility to ensure that the adrenaline autoinjector and a copy of the Individual Anaphylaxis Management Plan is taken on the excursion.</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 xml:space="preserve">For each field trip, excursion </w:t>
      </w:r>
      <w:proofErr w:type="spellStart"/>
      <w:r>
        <w:rPr>
          <w:rFonts w:eastAsia="Times New Roman" w:cs="Times New Roman"/>
          <w:bCs/>
          <w:sz w:val="24"/>
          <w:szCs w:val="24"/>
        </w:rPr>
        <w:t>etc</w:t>
      </w:r>
      <w:proofErr w:type="spellEnd"/>
      <w:r>
        <w:rPr>
          <w:rFonts w:eastAsia="Times New Roman" w:cs="Times New Roman"/>
          <w:bCs/>
          <w:sz w:val="24"/>
          <w:szCs w:val="24"/>
        </w:rPr>
        <w:t xml:space="preserve">, a risk assessment should be undertaken for each individual student attending who is at risk of anaphylaxis.  The risks may vary according to the number of anaphylactic students attending, the nature </w:t>
      </w:r>
      <w:r>
        <w:rPr>
          <w:rFonts w:eastAsia="Times New Roman" w:cs="Times New Roman"/>
          <w:bCs/>
          <w:sz w:val="24"/>
          <w:szCs w:val="24"/>
        </w:rPr>
        <w:lastRenderedPageBreak/>
        <w:t>of the excursion/sporting event, size of venue, distance from medical assistance, the structure of excursion and corresponding staff-student ratio.</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All school staff members present during the field trip or excursion need to be aware of the identity of any students attending who are at risk of anaphylaxis and be able to identify them by face.</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The school should consult parents of anaphylactic students in advance to discuss issues that may arise; to develop an alternative food menu; or request the parents to provide a meal (if required)</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Parents may wish to accompany their child on field trips and/or excursions.  This should be discussed with parents as another strategy for supporting the student who is at risk of anaphylaxis.</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Where the student is attending a school organised event without a teacher from the school (</w:t>
      </w:r>
      <w:proofErr w:type="spellStart"/>
      <w:r>
        <w:rPr>
          <w:rFonts w:eastAsia="Times New Roman" w:cs="Times New Roman"/>
          <w:bCs/>
          <w:sz w:val="24"/>
          <w:szCs w:val="24"/>
        </w:rPr>
        <w:t>eg</w:t>
      </w:r>
      <w:proofErr w:type="spellEnd"/>
      <w:r>
        <w:rPr>
          <w:rFonts w:eastAsia="Times New Roman" w:cs="Times New Roman"/>
          <w:bCs/>
          <w:sz w:val="24"/>
          <w:szCs w:val="24"/>
        </w:rPr>
        <w:t xml:space="preserve"> representing the school at a district sports event) it is the parent’s responsibility to ensure that the adrenaline autoinjector and a copy of the Individual Anaphylaxis Management Plan is taken on the excursion.  Parents way wish to accompany their child on such excursions/events.</w:t>
      </w:r>
    </w:p>
    <w:p>
      <w:pPr>
        <w:numPr>
          <w:ilvl w:val="0"/>
          <w:numId w:val="20"/>
        </w:numPr>
        <w:spacing w:after="0" w:line="240" w:lineRule="auto"/>
        <w:rPr>
          <w:rFonts w:eastAsia="Times New Roman" w:cs="Times New Roman"/>
          <w:bCs/>
          <w:sz w:val="24"/>
          <w:szCs w:val="24"/>
        </w:rPr>
      </w:pPr>
      <w:r>
        <w:rPr>
          <w:rFonts w:eastAsia="Times New Roman" w:cs="Times New Roman"/>
          <w:bCs/>
          <w:sz w:val="24"/>
          <w:szCs w:val="24"/>
        </w:rPr>
        <w:t xml:space="preserve">Prior to the excursion taking place School Staff should consult with the student’s parents and medical practitioner (if necessary) to review the student’s Individual Anaphylaxis Management Plan to ensure this it is up to date and relevant to the particular excursion activity. </w:t>
      </w:r>
    </w:p>
    <w:p>
      <w:pPr>
        <w:spacing w:after="0" w:line="240" w:lineRule="auto"/>
        <w:rPr>
          <w:rFonts w:eastAsia="Times New Roman" w:cs="Times New Roman"/>
          <w:bCs/>
          <w:sz w:val="24"/>
          <w:szCs w:val="24"/>
        </w:rPr>
      </w:pPr>
    </w:p>
    <w:p>
      <w:pPr>
        <w:shd w:val="clear" w:color="auto" w:fill="C6D9F1"/>
        <w:spacing w:after="0" w:line="240" w:lineRule="auto"/>
        <w:rPr>
          <w:rFonts w:eastAsia="Times New Roman" w:cs="Times New Roman"/>
          <w:b/>
          <w:bCs/>
          <w:sz w:val="24"/>
          <w:szCs w:val="24"/>
        </w:rPr>
      </w:pPr>
      <w:r>
        <w:rPr>
          <w:rFonts w:eastAsia="Times New Roman" w:cs="Times New Roman"/>
          <w:b/>
          <w:bCs/>
          <w:sz w:val="24"/>
          <w:szCs w:val="24"/>
        </w:rPr>
        <w:t>Camps and remote settings</w:t>
      </w:r>
    </w:p>
    <w:p>
      <w:pPr>
        <w:spacing w:after="0" w:line="240" w:lineRule="auto"/>
        <w:rPr>
          <w:rFonts w:eastAsia="Times New Roman" w:cs="Times New Roman"/>
          <w:bCs/>
          <w:sz w:val="24"/>
          <w:szCs w:val="24"/>
        </w:rPr>
      </w:pP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Prior to engaging a camp owner/operator’s services the School should make enquiries as to whether it can provide food that is safe for anaphylactic students.  If a camp owner/operator cannot provide this confirmation to the school, then the school should consider using an alternative service provider.</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The camp cook should be able to demonstrate satisfactory training in food allergen management and its implications on food-handling practices, including knowledge of the major food allergens triggering anaphylaxis, cross-contamination issues specific to food allergy, label reading, etc.</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Toolamba Primary School will not sign any written disclaimer or statement from a camp owner/operator that indicates that the owner/operator is unable to provide food which is safe for students at risk of anaphylaxis.  Schools have a duty of care to protect students in their care from reasonably foreseeable injury and this duty cannot be delegated to any third party.</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Toolamba Primary School will conduct a risk assessment and develop a risk management strategy for students at risk of anaphylaxis.  This should be developed in consultation with Parents of students at risk of anaphylaxis and camp owners/operators prior to the camp dates.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School staff will consult with Parents of students at risk of anaphylaxis and the camp owner/operator to ensure that appropriate risk minimisation and prevention strategies and processes are in place to address an anaphylactic reaction should it occur.  If these procedures are deemed to be inadequate, further discussions, planning and implementation will need to be undertaken.</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Use of substances containing allergens should be avoided where possible.</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Camps should avoid stocking peanut or tree nut products, including nut spreads.  Products that ‘may contain’ traces of nuts may be served, but not to students who are known to be allergic to nuts.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lastRenderedPageBreak/>
        <w:t>The student’s Adrenaline Auotinjector, Individual Anaphylaxis Management Plan, including the ASCIA Action Plan for Anaphylaxis and a mobile phone must be taken on camp.  If mobile phone access is not available, an alternative method of communication in an emergency must be considered, e.g. a satellite phone.</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Prior to the camp taking place school staff should consult with the student’s parents to review the students Individual Anaphylaxis Management Plan to ensure this it is up to date and relevant to the circumstances of the particular camp.</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School staff participating in the camp should be clear about their roles and responsibilities in the event of an anaphylactic reaction.  Check the emergency response procedures that the camp provider has in place.  Ensure that these are sufficient in the event of an anaphylactic reaction and ensure all school staff participating in the camp are clear about their roles and responsibilities.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Contact local emergency services and hospitals prior to the camp.  Advise full medical conditions of students at risk, location of camp and location of any off camp activities.  Ensure contact details of emergency services are distributed to all school staff as part of the emergency response procedures developed for the camp.</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An adrenaline autoinjector should remain close to the student and school staff must be aware of its location at all times.</w:t>
      </w:r>
    </w:p>
    <w:p>
      <w:pPr>
        <w:numPr>
          <w:ilvl w:val="0"/>
          <w:numId w:val="21"/>
        </w:numPr>
        <w:spacing w:after="0" w:line="240" w:lineRule="auto"/>
        <w:rPr>
          <w:rFonts w:eastAsia="Times New Roman" w:cs="Times New Roman"/>
          <w:bCs/>
          <w:sz w:val="24"/>
          <w:szCs w:val="24"/>
        </w:rPr>
      </w:pPr>
      <w:r>
        <w:rPr>
          <w:rFonts w:eastAsia="Times New Roman" w:cs="Times New Roman"/>
          <w:bCs/>
          <w:sz w:val="24"/>
          <w:szCs w:val="24"/>
        </w:rPr>
        <w:t>The adrenaline autoinjector should be carried in the school first aid hit; however, schools can consider allowing students, particularly adolescents, to carry their adrenaline autoinjector on camp.  This depends on the individual student and will be discussed as part of school/parent consultation before the camp.  Remember that all school staff members still have a duty of care towards the student even if they do carry their own adrenaline autoinjector.</w:t>
      </w:r>
    </w:p>
    <w:p>
      <w:pPr>
        <w:pStyle w:val="Heading3"/>
        <w:spacing w:after="120"/>
        <w:jc w:val="both"/>
        <w:rPr>
          <w:rFonts w:eastAsiaTheme="majorEastAsia" w:cstheme="majorBidi"/>
          <w:color w:val="000000" w:themeColor="text1"/>
        </w:rPr>
      </w:pPr>
      <w:r>
        <w:rPr>
          <w:b w:val="0"/>
          <w:color w:val="000000" w:themeColor="text1"/>
        </w:rPr>
        <w:t>Adrenaline autoinjectors for general use</w:t>
      </w:r>
    </w:p>
    <w:p>
      <w:pPr>
        <w:autoSpaceDE w:val="0"/>
        <w:autoSpaceDN w:val="0"/>
        <w:adjustRightInd w:val="0"/>
        <w:spacing w:after="180" w:line="240" w:lineRule="auto"/>
        <w:jc w:val="both"/>
        <w:rPr>
          <w:rFonts w:eastAsia="Times New Roman" w:cstheme="minorHAnsi"/>
          <w:color w:val="000000"/>
        </w:rPr>
      </w:pPr>
      <w:r>
        <w:rPr>
          <w:rFonts w:eastAsia="Times New Roman" w:cstheme="minorHAnsi"/>
          <w:color w:val="000000"/>
        </w:rPr>
        <w:t xml:space="preserve">[Note: for guidance on the appropriate number of general use adrenaline autoinjectors for your school, refer to page 34 of the Department’s </w:t>
      </w:r>
      <w:r>
        <w:rPr>
          <w:rFonts w:eastAsia="Times New Roman" w:cstheme="minorHAnsi"/>
          <w:i/>
          <w:color w:val="000000"/>
        </w:rPr>
        <w:t>Anaphylaxis Guidelines</w:t>
      </w:r>
      <w:r>
        <w:rPr>
          <w:rFonts w:eastAsia="Times New Roman" w:cstheme="minorHAnsi"/>
          <w:color w:val="000000"/>
        </w:rPr>
        <w:t xml:space="preserve">: </w:t>
      </w:r>
      <w:hyperlink r:id="rId6" w:history="1">
        <w:r>
          <w:rPr>
            <w:rStyle w:val="Hyperlink"/>
            <w:rFonts w:eastAsia="Times New Roman" w:cstheme="minorHAnsi"/>
          </w:rPr>
          <w:t>http://www.education.vic.gov.au/school/teachers/health/pages/anaphylaxisschl.aspx</w:t>
        </w:r>
      </w:hyperlink>
      <w:r>
        <w:rPr>
          <w:rFonts w:eastAsia="Times New Roman" w:cstheme="minorHAnsi"/>
          <w:color w:val="000000"/>
        </w:rPr>
        <w:t>.]</w:t>
      </w:r>
    </w:p>
    <w:p>
      <w:pPr>
        <w:autoSpaceDE w:val="0"/>
        <w:autoSpaceDN w:val="0"/>
        <w:adjustRightInd w:val="0"/>
        <w:spacing w:after="180" w:line="240" w:lineRule="auto"/>
        <w:jc w:val="both"/>
        <w:rPr>
          <w:rFonts w:eastAsia="Times New Roman" w:cstheme="minorHAnsi"/>
          <w:color w:val="000000"/>
        </w:rPr>
      </w:pPr>
      <w:r>
        <w:rPr>
          <w:rFonts w:eastAsia="Times New Roman" w:cstheme="minorHAnsi"/>
          <w:color w:val="000000"/>
        </w:rPr>
        <w:t xml:space="preserve">Toolamba PS will maintain a supply of adrenaline autoinjector(s) for general use, as a back-up to those provided by parents and carers for specific students, and also for students who may suffer from a first time reaction at school. </w:t>
      </w:r>
    </w:p>
    <w:p>
      <w:pPr>
        <w:jc w:val="both"/>
        <w:rPr>
          <w:rFonts w:eastAsia="Times New Roman" w:cstheme="minorHAnsi"/>
          <w:color w:val="000000"/>
        </w:rPr>
      </w:pPr>
      <w:r>
        <w:rPr>
          <w:rFonts w:eastAsia="Times New Roman" w:cstheme="minorHAnsi"/>
          <w:color w:val="000000"/>
        </w:rPr>
        <w:t xml:space="preserve">Adrenaline autoinjectors for general use will be stored at [insert location/s] and labelled “general use”. </w:t>
      </w:r>
    </w:p>
    <w:p>
      <w:pPr>
        <w:jc w:val="both"/>
        <w:rPr>
          <w:rFonts w:eastAsia="Times New Roman" w:cstheme="minorHAnsi"/>
          <w:color w:val="000000"/>
        </w:rPr>
      </w:pPr>
      <w:r>
        <w:rPr>
          <w:rFonts w:eastAsia="Times New Roman" w:cstheme="minorHAnsi"/>
          <w:color w:val="000000"/>
        </w:rPr>
        <w:t>The principal is responsible for arranging the purchase of adrenaline autoinjectors for general use, and will consider:</w:t>
      </w:r>
    </w:p>
    <w:p>
      <w:pPr>
        <w:pStyle w:val="ListParagraph"/>
        <w:numPr>
          <w:ilvl w:val="0"/>
          <w:numId w:val="8"/>
        </w:numPr>
        <w:jc w:val="both"/>
        <w:rPr>
          <w:rFonts w:eastAsia="Times New Roman" w:cstheme="minorHAnsi"/>
          <w:color w:val="000000"/>
        </w:rPr>
      </w:pPr>
      <w:r>
        <w:rPr>
          <w:rFonts w:eastAsia="Times New Roman" w:cstheme="minorHAnsi"/>
          <w:color w:val="000000"/>
        </w:rPr>
        <w:t>the number of students enrolled at Toolamba PS at risk of anaphylaxis</w:t>
      </w:r>
    </w:p>
    <w:p>
      <w:pPr>
        <w:pStyle w:val="ListParagraph"/>
        <w:numPr>
          <w:ilvl w:val="0"/>
          <w:numId w:val="8"/>
        </w:numPr>
        <w:jc w:val="both"/>
        <w:rPr>
          <w:rFonts w:eastAsia="Times New Roman" w:cstheme="minorHAnsi"/>
          <w:color w:val="000000"/>
        </w:rPr>
      </w:pPr>
      <w:r>
        <w:rPr>
          <w:rFonts w:eastAsia="Times New Roman" w:cstheme="minorHAnsi"/>
          <w:color w:val="000000"/>
        </w:rPr>
        <w:t>the accessibility of adrenaline autoinjectors supplied by parents</w:t>
      </w:r>
    </w:p>
    <w:p>
      <w:pPr>
        <w:pStyle w:val="ListParagraph"/>
        <w:numPr>
          <w:ilvl w:val="0"/>
          <w:numId w:val="8"/>
        </w:numPr>
        <w:jc w:val="both"/>
        <w:rPr>
          <w:rFonts w:eastAsia="Times New Roman" w:cstheme="minorHAnsi"/>
          <w:color w:val="000000"/>
        </w:rPr>
      </w:pPr>
      <w:r>
        <w:rPr>
          <w:rFonts w:eastAsia="Times New Roman" w:cstheme="minorHAnsi"/>
          <w:color w:val="000000"/>
        </w:rPr>
        <w:t>the availability of a sufficient supply of autoinjectors for general use in different locations at the school, as well as at camps, excursions and events</w:t>
      </w:r>
    </w:p>
    <w:p>
      <w:pPr>
        <w:pStyle w:val="ListParagraph"/>
        <w:numPr>
          <w:ilvl w:val="0"/>
          <w:numId w:val="8"/>
        </w:numPr>
        <w:jc w:val="both"/>
        <w:rPr>
          <w:rFonts w:eastAsia="Times New Roman" w:cstheme="minorHAnsi"/>
          <w:color w:val="000000"/>
        </w:rPr>
      </w:pPr>
      <w:proofErr w:type="gramStart"/>
      <w:r>
        <w:rPr>
          <w:rFonts w:eastAsia="Times New Roman" w:cstheme="minorHAnsi"/>
          <w:color w:val="000000"/>
        </w:rPr>
        <w:t>the</w:t>
      </w:r>
      <w:proofErr w:type="gramEnd"/>
      <w:r>
        <w:rPr>
          <w:rFonts w:eastAsia="Times New Roman" w:cstheme="minorHAnsi"/>
          <w:color w:val="000000"/>
        </w:rPr>
        <w:t xml:space="preserve"> limited life span of adrenaline autoinjectors, and the need for general use adrenaline autoinjectors to be replaced when used or prior to expiry. </w:t>
      </w:r>
    </w:p>
    <w:p>
      <w:pPr>
        <w:pStyle w:val="Heading3"/>
        <w:spacing w:after="120"/>
        <w:jc w:val="both"/>
        <w:rPr>
          <w:rFonts w:eastAsiaTheme="majorEastAsia" w:cstheme="majorBidi"/>
          <w:color w:val="000000" w:themeColor="text1"/>
        </w:rPr>
      </w:pPr>
      <w:r>
        <w:rPr>
          <w:b w:val="0"/>
          <w:color w:val="000000" w:themeColor="text1"/>
        </w:rPr>
        <w:lastRenderedPageBreak/>
        <w:t xml:space="preserve">Emergency Response </w:t>
      </w:r>
    </w:p>
    <w:p>
      <w:pPr>
        <w:spacing w:after="84" w:line="240" w:lineRule="auto"/>
        <w:jc w:val="both"/>
        <w:rPr>
          <w:rFonts w:eastAsia="Times New Roman" w:cstheme="minorHAnsi"/>
          <w:color w:val="000000"/>
        </w:rPr>
      </w:pPr>
      <w:r>
        <w:rPr>
          <w:rFonts w:eastAsia="Times New Roman" w:cstheme="minorHAnsi"/>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pPr>
        <w:spacing w:after="84" w:line="240" w:lineRule="auto"/>
        <w:jc w:val="both"/>
        <w:rPr>
          <w:rFonts w:eastAsia="Times New Roman" w:cstheme="minorHAnsi"/>
          <w:color w:val="000000"/>
        </w:rPr>
      </w:pPr>
      <w:r>
        <w:rPr>
          <w:rFonts w:eastAsia="Times New Roman" w:cstheme="minorHAnsi"/>
          <w:color w:val="000000"/>
        </w:rPr>
        <w:t xml:space="preserve">A complete and up-to-date list of students identified as being at risk of anaphylaxis is maintained by Jenny Davey, Business Manager and stored at on wall in First Aid room and in all classrooms and first aid boxes. 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pPr>
        <w:spacing w:after="84" w:line="240" w:lineRule="auto"/>
        <w:jc w:val="both"/>
        <w:rPr>
          <w:rFonts w:eastAsia="Times New Roman" w:cstheme="minorHAnsi"/>
          <w:color w:val="000000"/>
        </w:rPr>
      </w:pPr>
      <w:r>
        <w:rPr>
          <w:rFonts w:eastAsia="Times New Roman" w:cstheme="minorHAnsi"/>
          <w:color w:val="000000"/>
        </w:rPr>
        <w:t>If a student experiences an anaphylactic reaction at school or during a school activity, school staff must:</w:t>
      </w:r>
    </w:p>
    <w:tbl>
      <w:tblPr>
        <w:tblStyle w:val="TableGrid1"/>
        <w:tblW w:w="0" w:type="auto"/>
        <w:tblLook w:val="04A0" w:firstRow="1" w:lastRow="0" w:firstColumn="1" w:lastColumn="0" w:noHBand="0" w:noVBand="1"/>
      </w:tblPr>
      <w:tblGrid>
        <w:gridCol w:w="988"/>
        <w:gridCol w:w="8028"/>
      </w:tblGrid>
      <w:tr>
        <w:tc>
          <w:tcPr>
            <w:tcW w:w="98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eastAsiaTheme="minorHAnsi" w:cstheme="minorHAnsi"/>
                <w:b/>
              </w:rPr>
            </w:pPr>
            <w:r>
              <w:rPr>
                <w:rFonts w:cstheme="minorHAnsi"/>
                <w:b/>
              </w:rPr>
              <w:t>Step</w:t>
            </w:r>
          </w:p>
        </w:tc>
        <w:tc>
          <w:tcPr>
            <w:tcW w:w="802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cstheme="minorHAnsi"/>
                <w:b/>
              </w:rPr>
            </w:pPr>
            <w:r>
              <w:rPr>
                <w:rFonts w:cstheme="minorHAnsi"/>
                <w:b/>
              </w:rPr>
              <w:t>Action</w:t>
            </w:r>
          </w:p>
        </w:tc>
      </w:tr>
      <w:tr>
        <w:tc>
          <w:tcPr>
            <w:tcW w:w="988" w:type="dxa"/>
            <w:tcBorders>
              <w:top w:val="single" w:sz="4" w:space="0" w:color="auto"/>
              <w:left w:val="single" w:sz="4" w:space="0" w:color="auto"/>
              <w:bottom w:val="single" w:sz="4" w:space="0" w:color="auto"/>
              <w:right w:val="single" w:sz="4" w:space="0" w:color="auto"/>
            </w:tcBorders>
          </w:tcPr>
          <w:p>
            <w:pPr>
              <w:numPr>
                <w:ilvl w:val="0"/>
                <w:numId w:val="9"/>
              </w:numPr>
              <w:spacing w:after="0" w:line="240" w:lineRule="auto"/>
              <w:contextualSpacing/>
              <w:jc w:val="both"/>
              <w:rPr>
                <w:rFonts w:cstheme="minorHAnsi"/>
              </w:rPr>
            </w:pPr>
          </w:p>
        </w:tc>
        <w:tc>
          <w:tcPr>
            <w:tcW w:w="8028" w:type="dxa"/>
            <w:tcBorders>
              <w:top w:val="single" w:sz="4" w:space="0" w:color="auto"/>
              <w:left w:val="single" w:sz="4" w:space="0" w:color="auto"/>
              <w:bottom w:val="single" w:sz="4" w:space="0" w:color="auto"/>
              <w:right w:val="single" w:sz="4" w:space="0" w:color="auto"/>
            </w:tcBorders>
            <w:hideMark/>
          </w:tcPr>
          <w:p>
            <w:pPr>
              <w:pStyle w:val="ListParagraph"/>
              <w:numPr>
                <w:ilvl w:val="0"/>
                <w:numId w:val="10"/>
              </w:numPr>
              <w:spacing w:after="0" w:line="240" w:lineRule="auto"/>
              <w:jc w:val="both"/>
              <w:rPr>
                <w:rFonts w:cstheme="minorHAnsi"/>
              </w:rPr>
            </w:pPr>
            <w:r>
              <w:rPr>
                <w:rFonts w:cstheme="minorHAnsi"/>
              </w:rPr>
              <w:t>Lay the person flat</w:t>
            </w:r>
          </w:p>
          <w:p>
            <w:pPr>
              <w:pStyle w:val="ListParagraph"/>
              <w:numPr>
                <w:ilvl w:val="0"/>
                <w:numId w:val="10"/>
              </w:numPr>
              <w:spacing w:after="0" w:line="240" w:lineRule="auto"/>
              <w:jc w:val="both"/>
              <w:rPr>
                <w:rFonts w:cstheme="minorHAnsi"/>
              </w:rPr>
            </w:pPr>
            <w:r>
              <w:rPr>
                <w:rFonts w:cstheme="minorHAnsi"/>
              </w:rPr>
              <w:t>Do not allow them to stand or walk</w:t>
            </w:r>
          </w:p>
          <w:p>
            <w:pPr>
              <w:pStyle w:val="ListParagraph"/>
              <w:numPr>
                <w:ilvl w:val="0"/>
                <w:numId w:val="10"/>
              </w:numPr>
              <w:spacing w:after="0" w:line="240" w:lineRule="auto"/>
              <w:jc w:val="both"/>
              <w:rPr>
                <w:rFonts w:cstheme="minorHAnsi"/>
              </w:rPr>
            </w:pPr>
            <w:r>
              <w:rPr>
                <w:rFonts w:cstheme="minorHAnsi"/>
              </w:rPr>
              <w:t>If breathing is difficult, allow them to sit</w:t>
            </w:r>
          </w:p>
          <w:p>
            <w:pPr>
              <w:numPr>
                <w:ilvl w:val="0"/>
                <w:numId w:val="11"/>
              </w:numPr>
              <w:spacing w:after="0" w:line="240" w:lineRule="auto"/>
              <w:contextualSpacing/>
              <w:jc w:val="both"/>
              <w:rPr>
                <w:rFonts w:cstheme="minorHAnsi"/>
              </w:rPr>
            </w:pPr>
            <w:r>
              <w:rPr>
                <w:rFonts w:cstheme="minorHAnsi"/>
              </w:rPr>
              <w:t>Be calm and reassuring</w:t>
            </w:r>
          </w:p>
          <w:p>
            <w:pPr>
              <w:numPr>
                <w:ilvl w:val="0"/>
                <w:numId w:val="11"/>
              </w:numPr>
              <w:spacing w:after="0" w:line="240" w:lineRule="auto"/>
              <w:contextualSpacing/>
              <w:jc w:val="both"/>
              <w:rPr>
                <w:rFonts w:cstheme="minorHAnsi"/>
              </w:rPr>
            </w:pPr>
            <w:r>
              <w:rPr>
                <w:rFonts w:cstheme="minorHAnsi"/>
              </w:rPr>
              <w:t>Do not leave them alone</w:t>
            </w:r>
          </w:p>
          <w:p>
            <w:pPr>
              <w:numPr>
                <w:ilvl w:val="0"/>
                <w:numId w:val="11"/>
              </w:numPr>
              <w:spacing w:after="0" w:line="240" w:lineRule="auto"/>
              <w:contextualSpacing/>
              <w:jc w:val="both"/>
              <w:rPr>
                <w:rFonts w:cstheme="minorHAnsi"/>
              </w:rPr>
            </w:pPr>
            <w:r>
              <w:rPr>
                <w:rFonts w:cstheme="minorHAnsi"/>
              </w:rPr>
              <w:t>Seek assistance from another staff member or reliable student to locate the student’s adrenaline autoinjector or the school’s general use autoinjector, and the student’s Individual Anaphylaxis Management Plan, stored at [insert location]</w:t>
            </w:r>
          </w:p>
          <w:p>
            <w:pPr>
              <w:numPr>
                <w:ilvl w:val="0"/>
                <w:numId w:val="11"/>
              </w:numPr>
              <w:spacing w:after="0" w:line="240" w:lineRule="auto"/>
              <w:contextualSpacing/>
              <w:jc w:val="both"/>
              <w:rPr>
                <w:rFonts w:cstheme="minorHAnsi"/>
              </w:rPr>
            </w:pPr>
            <w:r>
              <w:rPr>
                <w:rFonts w:cstheme="minorHAnsi"/>
              </w:rPr>
              <w:t>If the student’s plan is not immediately available, or they appear to be experiencing a first time reaction, follow steps 2 to 5</w:t>
            </w:r>
          </w:p>
        </w:tc>
      </w:tr>
      <w:tr>
        <w:tc>
          <w:tcPr>
            <w:tcW w:w="988" w:type="dxa"/>
            <w:tcBorders>
              <w:top w:val="single" w:sz="4" w:space="0" w:color="auto"/>
              <w:left w:val="single" w:sz="4" w:space="0" w:color="auto"/>
              <w:bottom w:val="single" w:sz="4" w:space="0" w:color="auto"/>
              <w:right w:val="single" w:sz="4" w:space="0" w:color="auto"/>
            </w:tcBorders>
          </w:tcPr>
          <w:p>
            <w:pPr>
              <w:numPr>
                <w:ilvl w:val="0"/>
                <w:numId w:val="9"/>
              </w:numPr>
              <w:spacing w:after="0" w:line="240" w:lineRule="auto"/>
              <w:contextualSpacing/>
              <w:jc w:val="both"/>
              <w:rPr>
                <w:rFonts w:cstheme="minorHAnsi"/>
              </w:rPr>
            </w:pPr>
          </w:p>
        </w:tc>
        <w:tc>
          <w:tcPr>
            <w:tcW w:w="802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cstheme="minorHAnsi"/>
              </w:rPr>
            </w:pPr>
            <w:r>
              <w:rPr>
                <w:rFonts w:cstheme="minorHAnsi"/>
              </w:rPr>
              <w:t>Administer an EpiPen or EpiPen Jr (if the student is under 20kg)</w:t>
            </w:r>
          </w:p>
          <w:p>
            <w:pPr>
              <w:pStyle w:val="ListParagraph"/>
              <w:numPr>
                <w:ilvl w:val="0"/>
                <w:numId w:val="12"/>
              </w:numPr>
              <w:spacing w:after="0" w:line="240" w:lineRule="auto"/>
              <w:jc w:val="both"/>
              <w:rPr>
                <w:rFonts w:cstheme="minorHAnsi"/>
              </w:rPr>
            </w:pPr>
            <w:r>
              <w:rPr>
                <w:rFonts w:cstheme="minorHAnsi"/>
              </w:rPr>
              <w:t>Remove from plastic container</w:t>
            </w:r>
          </w:p>
          <w:p>
            <w:pPr>
              <w:pStyle w:val="ListParagraph"/>
              <w:numPr>
                <w:ilvl w:val="0"/>
                <w:numId w:val="12"/>
              </w:numPr>
              <w:spacing w:after="0" w:line="240" w:lineRule="auto"/>
              <w:jc w:val="both"/>
              <w:rPr>
                <w:rFonts w:cstheme="minorHAnsi"/>
              </w:rPr>
            </w:pPr>
            <w:r>
              <w:rPr>
                <w:rFonts w:cstheme="minorHAnsi"/>
              </w:rPr>
              <w:t>Form a fist around the EpiPen and pull off the blue safety release (cap)</w:t>
            </w:r>
          </w:p>
          <w:p>
            <w:pPr>
              <w:pStyle w:val="ListParagraph"/>
              <w:numPr>
                <w:ilvl w:val="0"/>
                <w:numId w:val="12"/>
              </w:numPr>
              <w:spacing w:after="0" w:line="240" w:lineRule="auto"/>
              <w:jc w:val="both"/>
              <w:rPr>
                <w:rFonts w:cstheme="minorHAnsi"/>
              </w:rPr>
            </w:pPr>
            <w:r>
              <w:rPr>
                <w:rFonts w:cstheme="minorHAnsi"/>
              </w:rPr>
              <w:t>Place orange end against the student’s outer mid-thigh (with or without clothing)</w:t>
            </w:r>
          </w:p>
          <w:p>
            <w:pPr>
              <w:pStyle w:val="ListParagraph"/>
              <w:numPr>
                <w:ilvl w:val="0"/>
                <w:numId w:val="12"/>
              </w:numPr>
              <w:spacing w:after="0" w:line="240" w:lineRule="auto"/>
              <w:jc w:val="both"/>
              <w:rPr>
                <w:rFonts w:cstheme="minorHAnsi"/>
              </w:rPr>
            </w:pPr>
            <w:r>
              <w:rPr>
                <w:rFonts w:cstheme="minorHAnsi"/>
              </w:rPr>
              <w:t>Push down hard until a click is heard or felt and hold in place for 3 seconds</w:t>
            </w:r>
          </w:p>
          <w:p>
            <w:pPr>
              <w:pStyle w:val="ListParagraph"/>
              <w:numPr>
                <w:ilvl w:val="0"/>
                <w:numId w:val="12"/>
              </w:numPr>
              <w:spacing w:after="0" w:line="240" w:lineRule="auto"/>
              <w:jc w:val="both"/>
              <w:rPr>
                <w:rFonts w:cstheme="minorHAnsi"/>
              </w:rPr>
            </w:pPr>
            <w:r>
              <w:rPr>
                <w:rFonts w:cstheme="minorHAnsi"/>
              </w:rPr>
              <w:t>Remove EpiPen</w:t>
            </w:r>
          </w:p>
          <w:p>
            <w:pPr>
              <w:pStyle w:val="ListParagraph"/>
              <w:numPr>
                <w:ilvl w:val="0"/>
                <w:numId w:val="12"/>
              </w:numPr>
              <w:spacing w:after="0" w:line="240" w:lineRule="auto"/>
              <w:jc w:val="both"/>
              <w:rPr>
                <w:rFonts w:cstheme="minorHAnsi"/>
              </w:rPr>
            </w:pPr>
            <w:r>
              <w:rPr>
                <w:rFonts w:cstheme="minorHAnsi"/>
              </w:rPr>
              <w:t>Note the time the EpiPen is administered</w:t>
            </w:r>
          </w:p>
          <w:p>
            <w:pPr>
              <w:pStyle w:val="ListParagraph"/>
              <w:numPr>
                <w:ilvl w:val="0"/>
                <w:numId w:val="12"/>
              </w:numPr>
              <w:spacing w:after="0" w:line="240" w:lineRule="auto"/>
              <w:jc w:val="both"/>
              <w:rPr>
                <w:rFonts w:cstheme="minorHAnsi"/>
                <w:b/>
              </w:rPr>
            </w:pPr>
            <w:r>
              <w:rPr>
                <w:rFonts w:cstheme="minorHAnsi"/>
              </w:rPr>
              <w:t>Retain the used EpiPen to be handed to ambulance paramedics along with the time of administration</w:t>
            </w:r>
            <w:r>
              <w:rPr>
                <w:rFonts w:cstheme="minorHAnsi"/>
                <w:b/>
              </w:rPr>
              <w:t xml:space="preserve"> </w:t>
            </w:r>
          </w:p>
        </w:tc>
      </w:tr>
      <w:tr>
        <w:tc>
          <w:tcPr>
            <w:tcW w:w="988" w:type="dxa"/>
            <w:tcBorders>
              <w:top w:val="single" w:sz="4" w:space="0" w:color="auto"/>
              <w:left w:val="single" w:sz="4" w:space="0" w:color="auto"/>
              <w:bottom w:val="single" w:sz="4" w:space="0" w:color="auto"/>
              <w:right w:val="single" w:sz="4" w:space="0" w:color="auto"/>
            </w:tcBorders>
          </w:tcPr>
          <w:p>
            <w:pPr>
              <w:numPr>
                <w:ilvl w:val="0"/>
                <w:numId w:val="9"/>
              </w:numPr>
              <w:spacing w:after="0" w:line="240" w:lineRule="auto"/>
              <w:contextualSpacing/>
              <w:jc w:val="both"/>
              <w:rPr>
                <w:rFonts w:cstheme="minorHAnsi"/>
              </w:rPr>
            </w:pPr>
          </w:p>
        </w:tc>
        <w:tc>
          <w:tcPr>
            <w:tcW w:w="802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cstheme="minorHAnsi"/>
              </w:rPr>
            </w:pPr>
            <w:r>
              <w:rPr>
                <w:rFonts w:cstheme="minorHAnsi"/>
              </w:rPr>
              <w:t>Call an ambulance (000)</w:t>
            </w:r>
          </w:p>
        </w:tc>
      </w:tr>
      <w:tr>
        <w:tc>
          <w:tcPr>
            <w:tcW w:w="988" w:type="dxa"/>
            <w:tcBorders>
              <w:top w:val="single" w:sz="4" w:space="0" w:color="auto"/>
              <w:left w:val="single" w:sz="4" w:space="0" w:color="auto"/>
              <w:bottom w:val="single" w:sz="4" w:space="0" w:color="auto"/>
              <w:right w:val="single" w:sz="4" w:space="0" w:color="auto"/>
            </w:tcBorders>
          </w:tcPr>
          <w:p>
            <w:pPr>
              <w:numPr>
                <w:ilvl w:val="0"/>
                <w:numId w:val="9"/>
              </w:numPr>
              <w:spacing w:after="0" w:line="240" w:lineRule="auto"/>
              <w:contextualSpacing/>
              <w:jc w:val="both"/>
              <w:rPr>
                <w:rFonts w:cstheme="minorHAnsi"/>
              </w:rPr>
            </w:pPr>
          </w:p>
        </w:tc>
        <w:tc>
          <w:tcPr>
            <w:tcW w:w="802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cstheme="minorHAnsi"/>
              </w:rPr>
            </w:pPr>
            <w:r>
              <w:rPr>
                <w:rFonts w:cstheme="minorHAnsi"/>
              </w:rPr>
              <w:t>If there is no improvement or severe symptoms progress (as described in the ASCIA Action Plan for Anaphylaxis), further adrenaline doses may be administered every five minutes, if other adrenaline autoinjectors are available.</w:t>
            </w:r>
          </w:p>
        </w:tc>
      </w:tr>
      <w:tr>
        <w:tc>
          <w:tcPr>
            <w:tcW w:w="988" w:type="dxa"/>
            <w:tcBorders>
              <w:top w:val="single" w:sz="4" w:space="0" w:color="auto"/>
              <w:left w:val="single" w:sz="4" w:space="0" w:color="auto"/>
              <w:bottom w:val="single" w:sz="4" w:space="0" w:color="auto"/>
              <w:right w:val="single" w:sz="4" w:space="0" w:color="auto"/>
            </w:tcBorders>
          </w:tcPr>
          <w:p>
            <w:pPr>
              <w:numPr>
                <w:ilvl w:val="0"/>
                <w:numId w:val="9"/>
              </w:numPr>
              <w:spacing w:after="0" w:line="240" w:lineRule="auto"/>
              <w:contextualSpacing/>
              <w:jc w:val="both"/>
              <w:rPr>
                <w:rFonts w:cstheme="minorHAnsi"/>
              </w:rPr>
            </w:pPr>
          </w:p>
        </w:tc>
        <w:tc>
          <w:tcPr>
            <w:tcW w:w="8028" w:type="dxa"/>
            <w:tcBorders>
              <w:top w:val="single" w:sz="4" w:space="0" w:color="auto"/>
              <w:left w:val="single" w:sz="4" w:space="0" w:color="auto"/>
              <w:bottom w:val="single" w:sz="4" w:space="0" w:color="auto"/>
              <w:right w:val="single" w:sz="4" w:space="0" w:color="auto"/>
            </w:tcBorders>
            <w:hideMark/>
          </w:tcPr>
          <w:p>
            <w:pPr>
              <w:spacing w:after="0" w:line="240" w:lineRule="auto"/>
              <w:jc w:val="both"/>
              <w:rPr>
                <w:rFonts w:cstheme="minorHAnsi"/>
              </w:rPr>
            </w:pPr>
            <w:r>
              <w:rPr>
                <w:rFonts w:cstheme="minorHAnsi"/>
              </w:rPr>
              <w:t>Contact the student’s emergency contacts.</w:t>
            </w:r>
          </w:p>
        </w:tc>
      </w:tr>
    </w:tbl>
    <w:p>
      <w:pPr>
        <w:spacing w:after="84" w:line="240" w:lineRule="auto"/>
        <w:jc w:val="both"/>
        <w:rPr>
          <w:rFonts w:eastAsia="Times New Roman" w:cstheme="minorHAnsi"/>
          <w:color w:val="000000"/>
        </w:rPr>
      </w:pPr>
    </w:p>
    <w:p>
      <w:pPr>
        <w:spacing w:after="84" w:line="240" w:lineRule="auto"/>
        <w:jc w:val="both"/>
        <w:rPr>
          <w:rFonts w:eastAsia="Times New Roman" w:cstheme="minorHAnsi"/>
          <w:color w:val="000000"/>
        </w:rPr>
      </w:pPr>
      <w:r>
        <w:rPr>
          <w:rFonts w:eastAsia="Times New Roman" w:cstheme="minorHAnsi"/>
          <w:color w:val="000000"/>
        </w:rPr>
        <w:t xml:space="preserve">If a student appears to be having a severe allergic reaction, but has not been previously diagnosed with an allergy or being at risk of anaphylaxis, school staff should follow steps 2 – 5 as above. </w:t>
      </w:r>
    </w:p>
    <w:p>
      <w:pPr>
        <w:spacing w:after="84" w:line="240" w:lineRule="auto"/>
        <w:jc w:val="both"/>
        <w:rPr>
          <w:b/>
          <w:color w:val="000000" w:themeColor="text1"/>
        </w:rPr>
      </w:pPr>
      <w:r>
        <w:rPr>
          <w:rFonts w:eastAsia="Times New Roman" w:cstheme="minorHAnsi"/>
          <w:color w:val="000000"/>
        </w:rPr>
        <w:t xml:space="preserve">[Note: If in doubt, it is better to use an adrenaline autoinjector than not use it, even if in hindsight the reaction is not anaphylaxis. Under-treatment of anaphylaxis is more harmful and potentially life threatening than over-treatment of a mild to moderate allergic reaction. Refer to page 41 of the </w:t>
      </w:r>
      <w:hyperlink r:id="rId7" w:history="1">
        <w:r>
          <w:rPr>
            <w:rStyle w:val="Hyperlink"/>
            <w:rFonts w:eastAsia="Times New Roman" w:cstheme="minorHAnsi"/>
          </w:rPr>
          <w:t>Anaphylaxis Guidelines</w:t>
        </w:r>
      </w:hyperlink>
      <w:r>
        <w:rPr>
          <w:rFonts w:eastAsia="Times New Roman" w:cstheme="minorHAnsi"/>
          <w:color w:val="000000"/>
        </w:rPr>
        <w:t>].</w:t>
      </w:r>
    </w:p>
    <w:p>
      <w:pPr>
        <w:pStyle w:val="Heading3"/>
        <w:spacing w:after="120"/>
        <w:jc w:val="both"/>
        <w:rPr>
          <w:b w:val="0"/>
          <w:color w:val="000000" w:themeColor="text1"/>
        </w:rPr>
      </w:pPr>
      <w:r>
        <w:rPr>
          <w:b w:val="0"/>
          <w:color w:val="000000" w:themeColor="text1"/>
        </w:rPr>
        <w:t xml:space="preserve">Communication Plan </w:t>
      </w:r>
    </w:p>
    <w:p>
      <w:pPr>
        <w:jc w:val="both"/>
      </w:pPr>
      <w:r>
        <w:t xml:space="preserve">This policy will be available on Toolamba PS’s website so that parents and other members of the school community can easily access information about Toolamba PS’s anaphylaxis management procedures. The parents and carers of students who are enrolled at Toolamba PS and are identified as being at risk of anaphylaxis will also be provided with a copy of this policy. </w:t>
      </w:r>
    </w:p>
    <w:p>
      <w:pPr>
        <w:jc w:val="both"/>
      </w:pPr>
      <w:r>
        <w:t xml:space="preserve">[Note: you must outline how you will ensure that all staff, including casual relief teachers, ES and volunteers, are aware of this policy and students in their care at risk of anaphylaxis. The below text is included as a guide, however, you may include alternative strategies i.e. this policy will be included in volunteer/CRT induction packs, </w:t>
      </w:r>
      <w:proofErr w:type="spellStart"/>
      <w:r>
        <w:t>etc</w:t>
      </w:r>
      <w:proofErr w:type="spellEnd"/>
      <w:r>
        <w:t>].</w:t>
      </w:r>
    </w:p>
    <w:p>
      <w:pPr>
        <w:jc w:val="both"/>
      </w:pPr>
      <w:r>
        <w:lastRenderedPageBreak/>
        <w:t xml:space="preserve">The [insert role, i.e. principal or School Anaphylaxis Supervisor] is responsible for ensuring that all relevant staff, including casual relief staff and volunteers are aware of this policy and Toolamba PS’s procedures for anaphylaxis management. Casual relief staff and volunteers who are responsible for the care and/or supervision of students who are identified as being at risk of anaphylaxis will also receive a verbal briefing on this policy.  </w:t>
      </w:r>
    </w:p>
    <w:p>
      <w:pPr>
        <w:pStyle w:val="Heading3"/>
        <w:spacing w:after="120"/>
        <w:jc w:val="both"/>
        <w:rPr>
          <w:color w:val="000000" w:themeColor="text1"/>
        </w:rPr>
      </w:pPr>
      <w:r>
        <w:rPr>
          <w:b w:val="0"/>
          <w:color w:val="000000" w:themeColor="text1"/>
        </w:rPr>
        <w:t>Staff training</w:t>
      </w:r>
    </w:p>
    <w:p>
      <w:pPr>
        <w:jc w:val="both"/>
      </w:pPr>
      <w:r>
        <w:t xml:space="preserve">Staff at Toolamba PS will receive appropriate training in anaphylaxis management, consistent with the Department’s </w:t>
      </w:r>
      <w:r>
        <w:rPr>
          <w:i/>
        </w:rPr>
        <w:t>Anaphylaxis Guidelines</w:t>
      </w:r>
      <w:r>
        <w:t xml:space="preserve">. </w:t>
      </w:r>
    </w:p>
    <w:p>
      <w:pPr>
        <w:jc w:val="both"/>
      </w:pPr>
      <w:r>
        <w:t>Staff who are responsible for conducting classes that students who are at risk of anaphylaxis attend, and any further staff that the principal identifies, must have completed:</w:t>
      </w:r>
    </w:p>
    <w:p>
      <w:pPr>
        <w:pStyle w:val="ListParagraph"/>
        <w:numPr>
          <w:ilvl w:val="0"/>
          <w:numId w:val="13"/>
        </w:numPr>
        <w:jc w:val="both"/>
      </w:pPr>
      <w:r>
        <w:t>an approved face-to-face anaphylaxis management training course in the last three years, or</w:t>
      </w:r>
    </w:p>
    <w:p>
      <w:pPr>
        <w:pStyle w:val="ListParagraph"/>
        <w:numPr>
          <w:ilvl w:val="0"/>
          <w:numId w:val="13"/>
        </w:numPr>
        <w:jc w:val="both"/>
      </w:pPr>
      <w:proofErr w:type="gramStart"/>
      <w:r>
        <w:t>an</w:t>
      </w:r>
      <w:proofErr w:type="gramEnd"/>
      <w:r>
        <w:t xml:space="preserve"> approved online anaphylaxis management training course in the last two years. </w:t>
      </w:r>
    </w:p>
    <w:p>
      <w:pPr>
        <w:jc w:val="both"/>
      </w:pPr>
      <w:r>
        <w:t xml:space="preserve">Toolamba PS uses the following training course Rich </w:t>
      </w:r>
      <w:r>
        <w:rPr>
          <w:b/>
        </w:rPr>
        <w:t xml:space="preserve">River HLTAID004 –UNIT </w:t>
      </w:r>
      <w:proofErr w:type="gramStart"/>
      <w:r>
        <w:rPr>
          <w:b/>
        </w:rPr>
        <w:t>CODE :</w:t>
      </w:r>
      <w:proofErr w:type="gramEnd"/>
      <w:r>
        <w:rPr>
          <w:b/>
        </w:rPr>
        <w:t xml:space="preserve"> 22300VIC</w:t>
      </w:r>
    </w:p>
    <w:p>
      <w:pPr>
        <w:tabs>
          <w:tab w:val="num" w:pos="170"/>
        </w:tabs>
        <w:spacing w:after="180" w:line="240" w:lineRule="auto"/>
        <w:jc w:val="both"/>
        <w:rPr>
          <w:rFonts w:eastAsia="Times New Roman" w:cstheme="minorHAnsi"/>
          <w:color w:val="000000"/>
        </w:rPr>
      </w:pPr>
      <w:r>
        <w:t>Staff are also required to attend a briefing on anaphylaxis management and this policy at least twice per year, facilitated by a staff member who has successfully completed an anaphylaxis management course within the last 2 years including [insert role, i.e. principal or School Anaphylaxis Supervisor]. Each briefing will address:</w:t>
      </w:r>
    </w:p>
    <w:p>
      <w:pPr>
        <w:pStyle w:val="ListParagraph"/>
        <w:numPr>
          <w:ilvl w:val="0"/>
          <w:numId w:val="14"/>
        </w:numPr>
        <w:tabs>
          <w:tab w:val="num" w:pos="170"/>
        </w:tabs>
        <w:spacing w:after="180" w:line="240" w:lineRule="auto"/>
        <w:jc w:val="both"/>
        <w:rPr>
          <w:rFonts w:eastAsia="Times New Roman" w:cstheme="minorHAnsi"/>
          <w:color w:val="000000"/>
        </w:rPr>
      </w:pPr>
      <w:r>
        <w:rPr>
          <w:rFonts w:eastAsia="Times New Roman" w:cstheme="minorHAnsi"/>
          <w:color w:val="000000"/>
        </w:rPr>
        <w:t>this policy</w:t>
      </w:r>
    </w:p>
    <w:p>
      <w:pPr>
        <w:pStyle w:val="ListParagraph"/>
        <w:numPr>
          <w:ilvl w:val="0"/>
          <w:numId w:val="14"/>
        </w:numPr>
        <w:tabs>
          <w:tab w:val="num" w:pos="170"/>
        </w:tabs>
        <w:spacing w:after="180" w:line="240" w:lineRule="auto"/>
        <w:jc w:val="both"/>
        <w:rPr>
          <w:rFonts w:eastAsia="Times New Roman" w:cstheme="minorHAnsi"/>
          <w:color w:val="000000"/>
        </w:rPr>
      </w:pPr>
      <w:r>
        <w:rPr>
          <w:rFonts w:eastAsia="Times New Roman" w:cstheme="minorHAnsi"/>
          <w:color w:val="000000"/>
        </w:rPr>
        <w:t>the causes, symptoms and treatment of anaphylaxis</w:t>
      </w:r>
    </w:p>
    <w:p>
      <w:pPr>
        <w:pStyle w:val="ListParagraph"/>
        <w:numPr>
          <w:ilvl w:val="0"/>
          <w:numId w:val="14"/>
        </w:numPr>
        <w:tabs>
          <w:tab w:val="num" w:pos="170"/>
        </w:tabs>
        <w:spacing w:after="180" w:line="240" w:lineRule="auto"/>
        <w:jc w:val="both"/>
        <w:rPr>
          <w:rFonts w:eastAsia="Times New Roman" w:cstheme="minorHAnsi"/>
          <w:color w:val="000000"/>
        </w:rPr>
      </w:pPr>
      <w:r>
        <w:rPr>
          <w:rFonts w:eastAsia="Times New Roman" w:cstheme="minorHAnsi"/>
          <w:color w:val="000000"/>
        </w:rPr>
        <w:t>the identities of students with a medical condition that relates to allergies and the potential for anaphylactic reaction, and where their medication is located</w:t>
      </w:r>
    </w:p>
    <w:p>
      <w:pPr>
        <w:pStyle w:val="ListParagraph"/>
        <w:numPr>
          <w:ilvl w:val="0"/>
          <w:numId w:val="14"/>
        </w:numPr>
        <w:tabs>
          <w:tab w:val="num" w:pos="170"/>
        </w:tabs>
        <w:spacing w:after="180" w:line="240" w:lineRule="auto"/>
        <w:jc w:val="both"/>
        <w:rPr>
          <w:rFonts w:eastAsia="Times New Roman" w:cstheme="minorHAnsi"/>
          <w:color w:val="000000"/>
        </w:rPr>
      </w:pPr>
      <w:r>
        <w:rPr>
          <w:rFonts w:eastAsia="Times New Roman" w:cstheme="minorHAnsi"/>
          <w:color w:val="000000"/>
        </w:rPr>
        <w:t>how to use an adrenaline autoinjector, including hands on practice with a trainer adrenaline autoinjector</w:t>
      </w:r>
    </w:p>
    <w:p>
      <w:pPr>
        <w:pStyle w:val="ListParagraph"/>
        <w:numPr>
          <w:ilvl w:val="0"/>
          <w:numId w:val="14"/>
        </w:numPr>
        <w:tabs>
          <w:tab w:val="num" w:pos="170"/>
        </w:tabs>
        <w:spacing w:after="180" w:line="240" w:lineRule="auto"/>
        <w:jc w:val="both"/>
        <w:rPr>
          <w:rFonts w:eastAsia="Times New Roman" w:cstheme="minorHAnsi"/>
          <w:color w:val="000000"/>
        </w:rPr>
      </w:pPr>
      <w:r>
        <w:rPr>
          <w:rFonts w:eastAsia="Times New Roman" w:cstheme="minorHAnsi"/>
          <w:color w:val="000000"/>
        </w:rPr>
        <w:t>the school’s general first aid and emergency response procedures</w:t>
      </w:r>
    </w:p>
    <w:p>
      <w:pPr>
        <w:pStyle w:val="ListParagraph"/>
        <w:numPr>
          <w:ilvl w:val="0"/>
          <w:numId w:val="14"/>
        </w:numPr>
        <w:tabs>
          <w:tab w:val="num" w:pos="170"/>
        </w:tabs>
        <w:spacing w:after="180" w:line="240" w:lineRule="auto"/>
        <w:jc w:val="both"/>
        <w:rPr>
          <w:rFonts w:eastAsia="Times New Roman" w:cstheme="minorHAnsi"/>
          <w:color w:val="000000"/>
        </w:rPr>
      </w:pPr>
      <w:proofErr w:type="gramStart"/>
      <w:r>
        <w:rPr>
          <w:rFonts w:eastAsia="Times New Roman" w:cstheme="minorHAnsi"/>
          <w:color w:val="000000"/>
        </w:rPr>
        <w:t>the</w:t>
      </w:r>
      <w:proofErr w:type="gramEnd"/>
      <w:r>
        <w:rPr>
          <w:rFonts w:eastAsia="Times New Roman" w:cstheme="minorHAnsi"/>
          <w:color w:val="000000"/>
        </w:rPr>
        <w:t xml:space="preserve"> location of, and access to, adrenaline autoinjectors that have been provided by parents or purchased by the school for general use. </w:t>
      </w:r>
    </w:p>
    <w:p>
      <w:pPr>
        <w:tabs>
          <w:tab w:val="num" w:pos="170"/>
        </w:tabs>
        <w:spacing w:after="180" w:line="240" w:lineRule="auto"/>
        <w:jc w:val="both"/>
      </w:pPr>
      <w:r>
        <w:t xml:space="preserve">When a new student enrols at Toolamba PS who is at risk of anaphylaxis, the principal will develop an interim plan in consultation with the student’s parents and ensure that appropriate staff are trained and briefed as soon as possible. </w:t>
      </w:r>
    </w:p>
    <w:p>
      <w:pPr>
        <w:jc w:val="both"/>
        <w:outlineLvl w:val="1"/>
        <w:rPr>
          <w:rFonts w:asciiTheme="majorHAnsi" w:eastAsiaTheme="majorEastAsia" w:hAnsiTheme="majorHAnsi" w:cstheme="majorBidi"/>
          <w:b/>
          <w:caps/>
          <w:color w:val="4F81BD" w:themeColor="accent1"/>
          <w:sz w:val="26"/>
          <w:szCs w:val="26"/>
        </w:rPr>
      </w:pPr>
      <w:r>
        <w:rPr>
          <w:rFonts w:asciiTheme="majorHAnsi" w:eastAsiaTheme="majorEastAsia" w:hAnsiTheme="majorHAnsi" w:cstheme="majorBidi"/>
          <w:b/>
          <w:caps/>
          <w:color w:val="4F81BD" w:themeColor="accent1"/>
          <w:sz w:val="26"/>
          <w:szCs w:val="26"/>
        </w:rPr>
        <w:t>Further information and resources</w:t>
      </w:r>
    </w:p>
    <w:p>
      <w:pPr>
        <w:pStyle w:val="ListParagraph"/>
        <w:numPr>
          <w:ilvl w:val="0"/>
          <w:numId w:val="15"/>
        </w:numPr>
        <w:jc w:val="both"/>
        <w:rPr>
          <w:rFonts w:cstheme="minorHAnsi"/>
        </w:rPr>
      </w:pPr>
      <w:r>
        <w:rPr>
          <w:rFonts w:cstheme="minorHAnsi"/>
        </w:rPr>
        <w:t xml:space="preserve">School Policy and Advisory Guide: </w:t>
      </w:r>
    </w:p>
    <w:p>
      <w:pPr>
        <w:pStyle w:val="ListParagraph"/>
        <w:numPr>
          <w:ilvl w:val="1"/>
          <w:numId w:val="15"/>
        </w:numPr>
        <w:jc w:val="both"/>
        <w:rPr>
          <w:rFonts w:cstheme="minorHAnsi"/>
        </w:rPr>
      </w:pPr>
      <w:hyperlink r:id="rId8" w:history="1">
        <w:r>
          <w:rPr>
            <w:rStyle w:val="Hyperlink"/>
            <w:rFonts w:cstheme="minorHAnsi"/>
          </w:rPr>
          <w:t>Anaphylaxis</w:t>
        </w:r>
      </w:hyperlink>
      <w:r>
        <w:rPr>
          <w:rFonts w:cstheme="minorHAnsi"/>
        </w:rPr>
        <w:t xml:space="preserve"> </w:t>
      </w:r>
    </w:p>
    <w:p>
      <w:pPr>
        <w:pStyle w:val="ListParagraph"/>
        <w:numPr>
          <w:ilvl w:val="1"/>
          <w:numId w:val="15"/>
        </w:numPr>
        <w:jc w:val="both"/>
        <w:rPr>
          <w:rFonts w:cstheme="minorHAnsi"/>
        </w:rPr>
      </w:pPr>
      <w:hyperlink r:id="rId9" w:history="1">
        <w:r>
          <w:rPr>
            <w:rStyle w:val="Hyperlink"/>
            <w:rFonts w:cstheme="minorHAnsi"/>
          </w:rPr>
          <w:t>Anaphylaxis management in schools</w:t>
        </w:r>
      </w:hyperlink>
      <w:r>
        <w:rPr>
          <w:rFonts w:cstheme="minorHAnsi"/>
        </w:rPr>
        <w:t xml:space="preserve"> </w:t>
      </w:r>
    </w:p>
    <w:p>
      <w:pPr>
        <w:pStyle w:val="ListParagraph"/>
        <w:numPr>
          <w:ilvl w:val="0"/>
          <w:numId w:val="15"/>
        </w:numPr>
        <w:jc w:val="both"/>
        <w:rPr>
          <w:rFonts w:cstheme="minorHAnsi"/>
        </w:rPr>
      </w:pPr>
      <w:r>
        <w:rPr>
          <w:rFonts w:cstheme="minorHAnsi"/>
        </w:rPr>
        <w:t xml:space="preserve">Allergy &amp; Anaphylaxis Australia: </w:t>
      </w:r>
      <w:hyperlink r:id="rId10" w:history="1">
        <w:r>
          <w:rPr>
            <w:rStyle w:val="Hyperlink"/>
            <w:rFonts w:cstheme="minorHAnsi"/>
          </w:rPr>
          <w:t>Risk minimisation strategies</w:t>
        </w:r>
      </w:hyperlink>
    </w:p>
    <w:p>
      <w:pPr>
        <w:pStyle w:val="ListParagraph"/>
        <w:numPr>
          <w:ilvl w:val="0"/>
          <w:numId w:val="15"/>
        </w:numPr>
        <w:jc w:val="both"/>
        <w:rPr>
          <w:rFonts w:cstheme="minorHAnsi"/>
        </w:rPr>
      </w:pPr>
      <w:r>
        <w:rPr>
          <w:rFonts w:cstheme="minorHAnsi"/>
        </w:rPr>
        <w:t xml:space="preserve">ASCIA Guidelines:  </w:t>
      </w:r>
      <w:hyperlink r:id="rId11" w:history="1">
        <w:r>
          <w:rPr>
            <w:rStyle w:val="Hyperlink"/>
            <w:rFonts w:cstheme="minorHAnsi"/>
          </w:rPr>
          <w:t>Schooling and childcare</w:t>
        </w:r>
      </w:hyperlink>
    </w:p>
    <w:p>
      <w:pPr>
        <w:pStyle w:val="ListParagraph"/>
        <w:numPr>
          <w:ilvl w:val="0"/>
          <w:numId w:val="15"/>
        </w:numPr>
        <w:jc w:val="both"/>
        <w:rPr>
          <w:rFonts w:cstheme="minorHAnsi"/>
        </w:rPr>
      </w:pPr>
      <w:r>
        <w:rPr>
          <w:rFonts w:cstheme="minorHAnsi"/>
        </w:rPr>
        <w:t xml:space="preserve">Royal Children’s Hospital: </w:t>
      </w:r>
      <w:hyperlink r:id="rId12" w:history="1">
        <w:r>
          <w:rPr>
            <w:rStyle w:val="Hyperlink"/>
            <w:rFonts w:cstheme="minorHAnsi"/>
          </w:rPr>
          <w:t xml:space="preserve">Allergy and immunology </w:t>
        </w:r>
      </w:hyperlink>
      <w:r>
        <w:rPr>
          <w:rFonts w:cstheme="minorHAnsi"/>
        </w:rPr>
        <w:t xml:space="preserve"> </w:t>
      </w:r>
    </w:p>
    <w:p>
      <w:pPr>
        <w:pStyle w:val="ListParagraph"/>
        <w:numPr>
          <w:ilvl w:val="0"/>
          <w:numId w:val="15"/>
        </w:numPr>
        <w:jc w:val="both"/>
        <w:rPr>
          <w:rFonts w:cstheme="minorHAnsi"/>
        </w:rPr>
      </w:pPr>
      <w:r>
        <w:rPr>
          <w:rFonts w:cstheme="minorHAnsi"/>
        </w:rPr>
        <w:t>[</w:t>
      </w:r>
      <w:r>
        <w:rPr>
          <w:lang w:eastAsia="en-AU"/>
        </w:rPr>
        <w:t>Insert links to related local polices, i.e. Health Care Needs.]</w:t>
      </w:r>
    </w:p>
    <w:p>
      <w:pPr>
        <w:jc w:val="both"/>
        <w:outlineLvl w:val="1"/>
        <w:rPr>
          <w:rFonts w:asciiTheme="majorHAnsi" w:eastAsiaTheme="majorEastAsia" w:hAnsiTheme="majorHAnsi" w:cstheme="majorBidi"/>
          <w:b/>
          <w:caps/>
          <w:color w:val="4F81BD" w:themeColor="accent1"/>
          <w:sz w:val="26"/>
          <w:szCs w:val="26"/>
        </w:rPr>
      </w:pPr>
      <w:r>
        <w:rPr>
          <w:rFonts w:asciiTheme="majorHAnsi" w:eastAsiaTheme="majorEastAsia" w:hAnsiTheme="majorHAnsi" w:cstheme="majorBidi"/>
          <w:b/>
          <w:caps/>
          <w:color w:val="4F81BD" w:themeColor="accent1"/>
          <w:sz w:val="26"/>
          <w:szCs w:val="26"/>
        </w:rPr>
        <w:t>Review cycle and evaluation</w:t>
      </w:r>
    </w:p>
    <w:p>
      <w:pPr>
        <w:jc w:val="both"/>
        <w:rPr>
          <w:rFonts w:cs="Arial"/>
        </w:rPr>
      </w:pPr>
      <w:r>
        <w:rPr>
          <w:rFonts w:cs="Arial"/>
        </w:rPr>
        <w:t>This policy was last updated on 09/08/2018 and is scheduled for review in August 2019</w:t>
      </w:r>
    </w:p>
    <w:p>
      <w:pPr>
        <w:jc w:val="both"/>
        <w:rPr>
          <w:rFonts w:cstheme="minorHAnsi"/>
        </w:rPr>
      </w:pPr>
      <w:r>
        <w:rPr>
          <w:rFonts w:cstheme="minorHAnsi"/>
        </w:rPr>
        <w:t xml:space="preserve">The principal will complete the Department’s Annual Risk Management Checklist for anaphylaxis management to assist with the evaluation and review of this policy and the support provided to students at risk of anaphylaxis. </w:t>
      </w:r>
    </w:p>
    <w:p>
      <w:pPr>
        <w:keepNext/>
        <w:spacing w:after="0" w:line="240" w:lineRule="auto"/>
        <w:ind w:right="-1418"/>
        <w:outlineLvl w:val="0"/>
        <w:rPr>
          <w:rFonts w:ascii="Arial" w:eastAsia="Times New Roman" w:hAnsi="Arial" w:cs="Arial"/>
          <w:bCs/>
          <w:color w:val="286EB4"/>
          <w:kern w:val="32"/>
          <w:sz w:val="36"/>
          <w:szCs w:val="36"/>
        </w:rPr>
      </w:pPr>
      <w:r>
        <w:rPr>
          <w:rFonts w:ascii="Arial" w:eastAsia="Times New Roman" w:hAnsi="Arial" w:cs="Arial"/>
          <w:bCs/>
          <w:color w:val="D12D4D"/>
          <w:kern w:val="32"/>
          <w:sz w:val="47"/>
          <w:szCs w:val="47"/>
        </w:rPr>
        <w:lastRenderedPageBreak/>
        <w:t>Annual Risk Management Checklist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6134"/>
        <w:gridCol w:w="1701"/>
      </w:tblGrid>
      <w:tr>
        <w:trPr>
          <w:cantSplit/>
        </w:trPr>
        <w:tc>
          <w:tcPr>
            <w:tcW w:w="177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School Name:</w:t>
            </w: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177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 of Review:</w:t>
            </w: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Height w:val="210"/>
        </w:trPr>
        <w:tc>
          <w:tcPr>
            <w:tcW w:w="1771" w:type="dxa"/>
            <w:vMerge w:val="restart"/>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completed this checklist?</w:t>
            </w:r>
          </w:p>
        </w:tc>
        <w:tc>
          <w:tcPr>
            <w:tcW w:w="7835"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Name:</w:t>
            </w:r>
          </w:p>
        </w:tc>
      </w:tr>
      <w:tr>
        <w:trPr>
          <w:cantSplit/>
          <w:trHeight w:val="209"/>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Position:</w:t>
            </w:r>
          </w:p>
        </w:tc>
      </w:tr>
      <w:tr>
        <w:trPr>
          <w:cantSplit/>
        </w:trPr>
        <w:tc>
          <w:tcPr>
            <w:tcW w:w="1771" w:type="dxa"/>
            <w:vMerge w:val="restart"/>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Review given to:</w:t>
            </w:r>
          </w:p>
        </w:tc>
        <w:tc>
          <w:tcPr>
            <w:tcW w:w="7835"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Name</w:t>
            </w: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Position</w:t>
            </w:r>
          </w:p>
        </w:tc>
      </w:tr>
      <w:tr>
        <w:trPr>
          <w:cantSplit/>
        </w:trPr>
        <w:tc>
          <w:tcPr>
            <w:tcW w:w="1771" w:type="dxa"/>
            <w:vMerge w:val="restart"/>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4"/>
                <w:lang w:eastAsia="en-AU"/>
              </w:rPr>
            </w:pPr>
          </w:p>
        </w:tc>
        <w:tc>
          <w:tcPr>
            <w:tcW w:w="7835"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General Information</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many current students have been diagnosed as being at risk of anaphylaxis, and have been prescribed an Adrenaline Autoinjector?</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many of these students carry their Adrenaline Autoinjector on their person?</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any students ever had an allergic reaction requiring medical intervention at school?</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If </w:t>
            </w:r>
            <w:proofErr w:type="gramStart"/>
            <w:r>
              <w:rPr>
                <w:rFonts w:ascii="Arial" w:eastAsia="Times New Roman" w:hAnsi="Arial" w:cs="Times New Roman"/>
                <w:color w:val="000000"/>
                <w:sz w:val="20"/>
                <w:szCs w:val="24"/>
                <w:lang w:eastAsia="en-AU"/>
              </w:rPr>
              <w:t>Yes</w:t>
            </w:r>
            <w:proofErr w:type="gramEnd"/>
            <w:r>
              <w:rPr>
                <w:rFonts w:ascii="Arial" w:eastAsia="Times New Roman" w:hAnsi="Arial" w:cs="Times New Roman"/>
                <w:color w:val="000000"/>
                <w:sz w:val="20"/>
                <w:szCs w:val="24"/>
                <w:lang w:eastAsia="en-AU"/>
              </w:rPr>
              <w:t>, how many times?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any students ever had an Anaphylactic Reaction at school?</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Yes, how many students?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Yes, how many times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Has a staff member been required to administer an Adrenaline Autoinjector to a student?</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If </w:t>
            </w:r>
            <w:proofErr w:type="gramStart"/>
            <w:r>
              <w:rPr>
                <w:rFonts w:ascii="Arial" w:eastAsia="Times New Roman" w:hAnsi="Arial" w:cs="Times New Roman"/>
                <w:color w:val="000000"/>
                <w:sz w:val="20"/>
                <w:szCs w:val="24"/>
                <w:lang w:eastAsia="en-AU"/>
              </w:rPr>
              <w:t>Yes</w:t>
            </w:r>
            <w:proofErr w:type="gramEnd"/>
            <w:r>
              <w:rPr>
                <w:rFonts w:ascii="Arial" w:eastAsia="Times New Roman" w:hAnsi="Arial" w:cs="Times New Roman"/>
                <w:color w:val="000000"/>
                <w:sz w:val="20"/>
                <w:szCs w:val="24"/>
                <w:lang w:eastAsia="en-AU"/>
              </w:rPr>
              <w:t>, how many times?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0"/>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Was every incident in which a student suffered an anaphylactic reaction reported via the Incident Reporting and Information System (IRIS)?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0"/>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1: Individual Anaphylaxis Management Plans</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every student who has been diagnosed as being at risk of anaphylaxis and prescribed an Adrenaline Autoinjector have an Individual Anaphylaxis Management Plan and ASCIA Action Plan completed and signed by a prescribed Medical Practitioner?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all Individual Anaphylaxis Management Plans reviewed regularly with Parents (at least annually)?</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the Individual Anaphylaxis Management Plans set out strategies to minimise the risk of exposure to allergens for the following in-school and out of class settings?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During classroom activities, including elective classes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canteens or during lunch or snack times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Before and after School, in the school yard and during breaks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For special events, such as sports days, class parties and extra-curricular activities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For excursions and camps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Other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students who carry an Adrenaline Autoinjector on their person have a copy of their ASCIA Action Plan kept at the School (provided by the Parent)?</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they kept?</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the ASCIA Action Plan include a recent photo of the student?</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2: Storage and Accessibility of Adrenaline Autoinjectors</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 student(s) Adrenaline Autoinjectors stored?</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School Staff know where the School’s Adrenaline Autoinjectors for General Use are stored?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stored at room temperature (not refrigerated)?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storage safe?</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storage unlocked and accessible to School Staff at all times?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easy to find?</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Comments:</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a copy of student’s Individual Anaphylaxis Management Plan (including the ASCIA Action Plan) kept together with the student’s Adrenaline Autoinjector?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 Adrenaline Autoinjectors and Individual Anaphylaxis Management Plans (including the ASCIA Action Plans) clearly labelled with the student’s names?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Has someone been designated to check the Adrenaline Autoinjector expiry dates on a regular basis?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Adrenaline Autoinjectors which are currently in the possession of the School and which have expired?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Has the School signed up to </w:t>
            </w:r>
            <w:proofErr w:type="spellStart"/>
            <w:r>
              <w:rPr>
                <w:rFonts w:ascii="Arial" w:eastAsia="Times New Roman" w:hAnsi="Arial" w:cs="Times New Roman"/>
                <w:color w:val="000000"/>
                <w:sz w:val="20"/>
                <w:szCs w:val="24"/>
                <w:lang w:eastAsia="en-AU"/>
              </w:rPr>
              <w:t>EpiClub</w:t>
            </w:r>
            <w:proofErr w:type="spellEnd"/>
            <w:r>
              <w:rPr>
                <w:rFonts w:ascii="Arial" w:eastAsia="Times New Roman" w:hAnsi="Arial" w:cs="Times New Roman"/>
                <w:color w:val="000000"/>
                <w:sz w:val="20"/>
                <w:szCs w:val="24"/>
                <w:lang w:eastAsia="en-AU"/>
              </w:rPr>
              <w:t xml:space="preserve"> or ANA-alert (optional free reminder services)?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 all School Staff know where the Adrenaline Autoinjectors and the Individual Anaphylaxis Management Plans are stored?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Has the School purchased Adrenaline Autoinjector(s) for General Use, and have they been placed in the School’s first aid kit(s)?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are these first aid kits located?</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 Adrenaline Autoinjector for General Use clearly labelled as the ‘General Use’ Adrenaline Autoinjector?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Is there a register for signing Adrenaline Autoinjectors in and out when taken for excursions, camps </w:t>
            </w:r>
            <w:proofErr w:type="spellStart"/>
            <w:r>
              <w:rPr>
                <w:rFonts w:ascii="Arial" w:eastAsia="Times New Roman" w:hAnsi="Arial" w:cs="Times New Roman"/>
                <w:color w:val="000000"/>
                <w:sz w:val="20"/>
                <w:szCs w:val="24"/>
                <w:lang w:eastAsia="en-AU"/>
              </w:rPr>
              <w:t>etc</w:t>
            </w:r>
            <w:proofErr w:type="spellEnd"/>
            <w:r>
              <w:rPr>
                <w:rFonts w:ascii="Arial" w:eastAsia="Times New Roman" w:hAnsi="Arial" w:cs="Times New Roman"/>
                <w:color w:val="000000"/>
                <w:sz w:val="20"/>
                <w:szCs w:val="24"/>
                <w:lang w:eastAsia="en-AU"/>
              </w:rPr>
              <w:t>?</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3: Prevention Strategies</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done a risk assessment to identify potential accidental exposure to allergens for all students who have been diagnosed as being at risk of anaphylaxis?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implemented any of the prevention strategies in the Anaphylaxis Guidelines? If not record why?</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Have all School Staff who conduct classes with students with a medical condition that relates to allergy and the potential for anaphylactic reaction successfully completed an Anaphylaxis Management Training Course in the three years prior and participated in a twice yearly briefing? </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always sufficient School Staff members on yard duty who have successfully completed an Anaphylaxis Management Training Course in the three years prior?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t>SECTION 4: School Management and Emergency Response</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the School have procedures for emergency responses to anaphylactic reactions? Are they clearly documented and communicated to all staff?</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Do School Staff know when their training needs to be renewed? </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developed Emergency Response Procedures for when an allergic reaction occurs?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the class room?</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In the school yard?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In all School buildings and sites, including gymnasiums and halls?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At school camps and excursions?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On special event days (such as sports days) conducted, organised or attended by the School?</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Does your plan include who will call the Ambulance?</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designated person who will be sent to collect the student’s Adrenaline Autoinjector and Individual Anaphylaxis Management Plan (including the ASCIA Action Plan)?</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you checked how long it will take to get to the Adrenaline Autoinjector and Individual Anaphylaxis Management Plan (including the ASCIA Action Plan) to a student from various areas of the School including:</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class room?</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 yard?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sports field?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On excursions or other out of school events is there a plan for who is responsible for ensuring the Adrenaline Autoinjector(s) and Individual Anaphylaxis Management Plans (including the </w:t>
            </w:r>
            <w:proofErr w:type="spellStart"/>
            <w:r>
              <w:rPr>
                <w:rFonts w:ascii="Arial" w:eastAsia="Times New Roman" w:hAnsi="Arial" w:cs="Times New Roman"/>
                <w:color w:val="000000"/>
                <w:sz w:val="20"/>
                <w:szCs w:val="24"/>
                <w:lang w:eastAsia="en-AU"/>
              </w:rPr>
              <w:t>ASCIAAction</w:t>
            </w:r>
            <w:proofErr w:type="spellEnd"/>
            <w:r>
              <w:rPr>
                <w:rFonts w:ascii="Arial" w:eastAsia="Times New Roman" w:hAnsi="Arial" w:cs="Times New Roman"/>
                <w:color w:val="000000"/>
                <w:sz w:val="20"/>
                <w:szCs w:val="24"/>
                <w:lang w:eastAsia="en-AU"/>
              </w:rPr>
              <w:t xml:space="preserve"> Plan) and the Adrenaline Autoinjector for General Use are correctly stored and available for use?</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excursions?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camps?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Who will make these arrangements during sporting activities?</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process for post incident support in place?</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Have all School Staff who conduct classes that students with a medical condition that relates to allergy and the potential for an anaphylactic reaction and any other staff identified by the Principal, been briefed on:</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School’s Anaphylaxis Management Policy?</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causes, symptoms and treatment of anaphylaxis?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identities of students with a medical condition that relates to allergy and the potential for an anaphylactic reaction, and who are prescribed an Adrenaline Autoinjector, including where their medication is located?</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How to use an Adrenaline Autoinjector, including hands on practise with a trainer Adrenaline Autoinjector?</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The School’s general first aid and emergency response procedures for all in-school and out-of-school environments?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the Adrenaline Autoinjector(s) for General Use is kept?</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Where the Adrenaline Autoinjectors for individual students are located including if they carry it on their person?</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9606" w:type="dxa"/>
            <w:gridSpan w:val="3"/>
            <w:tcBorders>
              <w:top w:val="single" w:sz="4" w:space="0" w:color="auto"/>
              <w:left w:val="single" w:sz="4" w:space="0" w:color="auto"/>
              <w:bottom w:val="single" w:sz="4" w:space="0" w:color="auto"/>
              <w:right w:val="single" w:sz="4" w:space="0" w:color="auto"/>
            </w:tcBorders>
            <w:shd w:val="clear" w:color="auto" w:fill="4F81BD"/>
            <w:hideMark/>
          </w:tcPr>
          <w:p>
            <w:pPr>
              <w:keepNext/>
              <w:spacing w:before="120" w:after="180" w:line="220" w:lineRule="atLeast"/>
              <w:rPr>
                <w:rFonts w:ascii="Arial" w:eastAsia="Times New Roman" w:hAnsi="Arial" w:cs="Times New Roman"/>
                <w:b/>
                <w:bCs/>
                <w:color w:val="FFFFFF"/>
                <w:sz w:val="20"/>
                <w:szCs w:val="24"/>
                <w:lang w:eastAsia="en-AU"/>
              </w:rPr>
            </w:pPr>
            <w:r>
              <w:rPr>
                <w:rFonts w:ascii="Arial" w:eastAsia="Times New Roman" w:hAnsi="Arial" w:cs="Times New Roman"/>
                <w:b/>
                <w:bCs/>
                <w:color w:val="FFFFFF"/>
                <w:sz w:val="20"/>
                <w:szCs w:val="24"/>
                <w:lang w:eastAsia="en-AU"/>
              </w:rPr>
              <w:lastRenderedPageBreak/>
              <w:t>SECTION 4: Communication Plan</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Communication Plan in place to provide information about anaphylaxis and the School’s policies?</w:t>
            </w: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School Staff?</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students?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Parents?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volunteers?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To casual relief staff?</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Is there a process for distributing this information to the relevant School Staff?</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1"/>
                <w:numId w:val="26"/>
              </w:numPr>
              <w:spacing w:after="180" w:line="220" w:lineRule="atLeast"/>
              <w:ind w:left="709"/>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What is it?</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 xml:space="preserve">How </w:t>
            </w:r>
            <w:proofErr w:type="gramStart"/>
            <w:r>
              <w:rPr>
                <w:rFonts w:ascii="Arial" w:eastAsia="Times New Roman" w:hAnsi="Arial" w:cs="Times New Roman"/>
                <w:color w:val="000000"/>
                <w:sz w:val="20"/>
                <w:szCs w:val="24"/>
                <w:lang w:eastAsia="en-AU"/>
              </w:rPr>
              <w:t>is this information</w:t>
            </w:r>
            <w:proofErr w:type="gramEnd"/>
            <w:r>
              <w:rPr>
                <w:rFonts w:ascii="Arial" w:eastAsia="Times New Roman" w:hAnsi="Arial" w:cs="Times New Roman"/>
                <w:color w:val="000000"/>
                <w:sz w:val="20"/>
                <w:szCs w:val="24"/>
                <w:lang w:eastAsia="en-AU"/>
              </w:rPr>
              <w:t xml:space="preserve"> kept up to date?</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r>
        <w:trPr>
          <w:cantSplit/>
        </w:trPr>
        <w:tc>
          <w:tcPr>
            <w:tcW w:w="7905" w:type="dxa"/>
            <w:gridSpan w:val="2"/>
            <w:tcBorders>
              <w:top w:val="single" w:sz="4" w:space="0" w:color="auto"/>
              <w:left w:val="single" w:sz="4" w:space="0" w:color="auto"/>
              <w:bottom w:val="single" w:sz="4" w:space="0" w:color="auto"/>
              <w:right w:val="single" w:sz="4" w:space="0" w:color="auto"/>
            </w:tcBorders>
            <w:hideMark/>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Are there strategies in place to increase awareness about severe allergies among students for all in-school and out-of-school environments?</w:t>
            </w:r>
          </w:p>
        </w:tc>
        <w:tc>
          <w:tcPr>
            <w:tcW w:w="1701" w:type="dxa"/>
            <w:tcBorders>
              <w:top w:val="single" w:sz="4" w:space="0" w:color="auto"/>
              <w:left w:val="single" w:sz="4" w:space="0" w:color="auto"/>
              <w:bottom w:val="single" w:sz="4" w:space="0" w:color="auto"/>
              <w:right w:val="single" w:sz="4" w:space="0" w:color="auto"/>
            </w:tcBorders>
            <w:hideMark/>
          </w:tcPr>
          <w:p>
            <w:pPr>
              <w:spacing w:after="180" w:line="220" w:lineRule="atLeast"/>
              <w:jc w:val="right"/>
              <w:rPr>
                <w:rFonts w:ascii="Arial" w:eastAsia="Times New Roman" w:hAnsi="Arial" w:cs="Times New Roman"/>
                <w:color w:val="000000"/>
                <w:sz w:val="24"/>
                <w:szCs w:val="24"/>
                <w:lang w:eastAsia="en-AU"/>
              </w:rPr>
            </w:pP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Yes    </w:t>
            </w:r>
            <w:r>
              <w:rPr>
                <w:rFonts w:ascii="Arial" w:eastAsia="Times New Roman" w:hAnsi="Arial" w:cs="Times New Roman"/>
                <w:color w:val="000000"/>
                <w:sz w:val="24"/>
                <w:szCs w:val="24"/>
                <w:lang w:eastAsia="en-AU"/>
              </w:rPr>
              <w:sym w:font="Wingdings 2" w:char="F0A3"/>
            </w:r>
            <w:r>
              <w:rPr>
                <w:rFonts w:ascii="Arial" w:eastAsia="Times New Roman" w:hAnsi="Arial" w:cs="Times New Roman"/>
                <w:color w:val="000000"/>
                <w:sz w:val="20"/>
                <w:szCs w:val="24"/>
                <w:lang w:eastAsia="en-AU"/>
              </w:rPr>
              <w:t xml:space="preserve">  No</w:t>
            </w:r>
          </w:p>
        </w:tc>
      </w:tr>
      <w:tr>
        <w:trPr>
          <w:cantSplit/>
        </w:trPr>
        <w:tc>
          <w:tcPr>
            <w:tcW w:w="7905" w:type="dxa"/>
            <w:gridSpan w:val="2"/>
            <w:tcBorders>
              <w:top w:val="single" w:sz="4" w:space="0" w:color="auto"/>
              <w:left w:val="single" w:sz="4" w:space="0" w:color="auto"/>
              <w:bottom w:val="single" w:sz="4" w:space="0" w:color="auto"/>
              <w:right w:val="single" w:sz="4" w:space="0" w:color="auto"/>
            </w:tcBorders>
          </w:tcPr>
          <w:p>
            <w:pPr>
              <w:numPr>
                <w:ilvl w:val="0"/>
                <w:numId w:val="26"/>
              </w:num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What are they?</w:t>
            </w: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c>
          <w:tcPr>
            <w:tcW w:w="1701" w:type="dxa"/>
            <w:tcBorders>
              <w:top w:val="single" w:sz="4" w:space="0" w:color="auto"/>
              <w:left w:val="single" w:sz="4" w:space="0" w:color="auto"/>
              <w:bottom w:val="single" w:sz="4" w:space="0" w:color="auto"/>
              <w:right w:val="single" w:sz="4" w:space="0" w:color="auto"/>
            </w:tcBorders>
          </w:tcPr>
          <w:p>
            <w:pPr>
              <w:spacing w:after="180" w:line="220" w:lineRule="atLeast"/>
              <w:jc w:val="right"/>
              <w:rPr>
                <w:rFonts w:ascii="Arial" w:eastAsia="Times New Roman" w:hAnsi="Arial" w:cs="Times New Roman"/>
                <w:color w:val="000000"/>
                <w:sz w:val="24"/>
                <w:szCs w:val="24"/>
                <w:lang w:eastAsia="en-AU"/>
              </w:rPr>
            </w:pPr>
          </w:p>
        </w:tc>
      </w:tr>
    </w:tbl>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p>
      <w:pPr>
        <w:tabs>
          <w:tab w:val="center" w:pos="4153"/>
          <w:tab w:val="right" w:pos="830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pPr>
        <w:keepNext/>
        <w:spacing w:after="0" w:line="240" w:lineRule="auto"/>
        <w:jc w:val="center"/>
        <w:outlineLvl w:val="0"/>
        <w:rPr>
          <w:rFonts w:ascii="Arial" w:eastAsia="Times New Roman" w:hAnsi="Arial" w:cs="Arial"/>
          <w:bCs/>
          <w:color w:val="D12D4D"/>
          <w:spacing w:val="-10"/>
          <w:kern w:val="32"/>
          <w:sz w:val="47"/>
          <w:szCs w:val="47"/>
        </w:rPr>
      </w:pPr>
      <w:r>
        <w:rPr>
          <w:rFonts w:ascii="Times New Roman" w:eastAsia="Times New Roman" w:hAnsi="Times New Roman" w:cs="Times New Roman"/>
          <w:b/>
          <w:color w:val="FF0000"/>
          <w:sz w:val="56"/>
          <w:szCs w:val="24"/>
        </w:rPr>
        <w:br w:type="page"/>
      </w:r>
      <w:r>
        <w:rPr>
          <w:rFonts w:ascii="Arial" w:eastAsia="Times New Roman" w:hAnsi="Arial" w:cs="Arial"/>
          <w:bCs/>
          <w:color w:val="D12D4D"/>
          <w:spacing w:val="-10"/>
          <w:kern w:val="32"/>
          <w:sz w:val="47"/>
          <w:szCs w:val="47"/>
        </w:rPr>
        <w:lastRenderedPageBreak/>
        <w:t>Individual Anaphylaxis Management Plan</w:t>
      </w:r>
    </w:p>
    <w:p>
      <w:pPr>
        <w:spacing w:after="180" w:line="240" w:lineRule="auto"/>
        <w:rPr>
          <w:rFonts w:ascii="Arial" w:eastAsia="Times New Roman" w:hAnsi="Arial" w:cs="Times New Roman"/>
          <w:color w:val="000000"/>
          <w:sz w:val="20"/>
          <w:szCs w:val="24"/>
        </w:rPr>
      </w:pPr>
    </w:p>
    <w:tbl>
      <w:tblPr>
        <w:tblW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8"/>
        <w:gridCol w:w="141"/>
        <w:gridCol w:w="993"/>
        <w:gridCol w:w="1984"/>
        <w:gridCol w:w="425"/>
        <w:gridCol w:w="851"/>
        <w:gridCol w:w="1066"/>
        <w:gridCol w:w="2051"/>
      </w:tblGrid>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6"/>
                <w:szCs w:val="18"/>
                <w:lang w:eastAsia="en-AU"/>
              </w:rPr>
            </w:pPr>
            <w:r>
              <w:rPr>
                <w:rFonts w:ascii="Arial" w:eastAsia="Times New Roman" w:hAnsi="Arial" w:cs="Times New Roman"/>
                <w:color w:val="000000"/>
                <w:sz w:val="16"/>
                <w:szCs w:val="18"/>
                <w:lang w:eastAsia="en-AU"/>
              </w:rPr>
              <w:t>This plan is to be completed by the Principal or nominee on the basis of information from the student's medical practitioner (ASCIA Action Plan for Anaphylaxis) provided by the Parent.</w:t>
            </w:r>
          </w:p>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color w:val="000000"/>
                <w:sz w:val="16"/>
                <w:szCs w:val="18"/>
                <w:lang w:eastAsia="en-AU"/>
              </w:rPr>
              <w:t>It is the Parents' responsibility to provide the School with a copy of the student's ASCIA Action Plan for Anaphylaxis containing the emergency procedures plan (signed by the student's Medical Practitioner) and an up-to-date photo of the student - to be appended to this plan; and to inform the school if their child's medical condition changes.</w:t>
            </w: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School</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Phone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Student</w:t>
            </w: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DOB</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Year level</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Severely allergic to:</w:t>
            </w:r>
          </w:p>
          <w:p>
            <w:pPr>
              <w:spacing w:after="180" w:line="220" w:lineRule="atLeast"/>
              <w:rPr>
                <w:rFonts w:ascii="Arial" w:eastAsia="Times New Roman" w:hAnsi="Arial" w:cs="Times New Roman"/>
                <w:b/>
                <w:color w:val="000000"/>
                <w:sz w:val="18"/>
                <w:szCs w:val="18"/>
                <w:lang w:eastAsia="en-AU"/>
              </w:rPr>
            </w:pP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Other health conditions</w:t>
            </w:r>
          </w:p>
          <w:p>
            <w:pPr>
              <w:spacing w:after="180" w:line="220" w:lineRule="atLeast"/>
              <w:rPr>
                <w:rFonts w:ascii="Arial" w:eastAsia="Times New Roman" w:hAnsi="Arial" w:cs="Times New Roman"/>
                <w:b/>
                <w:color w:val="000000"/>
                <w:sz w:val="18"/>
                <w:szCs w:val="18"/>
                <w:lang w:eastAsia="en-AU"/>
              </w:rPr>
            </w:pP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Medication at school</w:t>
            </w:r>
          </w:p>
          <w:p>
            <w:pPr>
              <w:spacing w:after="180" w:line="220" w:lineRule="atLeast"/>
              <w:rPr>
                <w:rFonts w:ascii="Arial" w:eastAsia="Times New Roman" w:hAnsi="Arial" w:cs="Times New Roman"/>
                <w:b/>
                <w:color w:val="000000"/>
                <w:sz w:val="18"/>
                <w:szCs w:val="18"/>
                <w:lang w:eastAsia="en-AU"/>
              </w:rPr>
            </w:pP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EMERGENCY CONTACT DETAILS (PARENT)</w:t>
            </w: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EMERGENCY CONTACT DETAILS (ALTERNATE)</w:t>
            </w: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Relationship</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Home phone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Work phone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Mobile</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297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c>
          <w:tcPr>
            <w:tcW w:w="1276"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Address</w:t>
            </w:r>
          </w:p>
        </w:tc>
        <w:tc>
          <w:tcPr>
            <w:tcW w:w="31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vMerge w:val="restart"/>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Medical practitioner contact</w:t>
            </w:r>
          </w:p>
        </w:tc>
        <w:tc>
          <w:tcPr>
            <w:tcW w:w="993"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Name</w:t>
            </w:r>
          </w:p>
        </w:tc>
        <w:tc>
          <w:tcPr>
            <w:tcW w:w="6377" w:type="dxa"/>
            <w:gridSpan w:val="5"/>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pPr>
              <w:spacing w:after="0"/>
              <w:rPr>
                <w:rFonts w:ascii="Arial" w:eastAsia="Times New Roman" w:hAnsi="Arial" w:cs="Times New Roman"/>
                <w:color w:val="000000"/>
                <w:sz w:val="20"/>
                <w:szCs w:val="20"/>
                <w:lang w:eastAsia="en-AU"/>
              </w:rPr>
            </w:pPr>
          </w:p>
        </w:tc>
        <w:tc>
          <w:tcPr>
            <w:tcW w:w="993"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Phone</w:t>
            </w:r>
          </w:p>
        </w:tc>
        <w:tc>
          <w:tcPr>
            <w:tcW w:w="6377" w:type="dxa"/>
            <w:gridSpan w:val="5"/>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rPr>
          <w:trHeight w:val="1040"/>
        </w:trP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Emergency care to be provided at school</w:t>
            </w: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r>
      <w:tr>
        <w:trPr>
          <w:trHeight w:val="1040"/>
        </w:trPr>
        <w:tc>
          <w:tcPr>
            <w:tcW w:w="2269"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p>
            <w:pPr>
              <w:spacing w:after="180" w:line="220" w:lineRule="atLeast"/>
              <w:rPr>
                <w:rFonts w:ascii="Arial" w:eastAsia="Times New Roman" w:hAnsi="Arial" w:cs="Times New Roman"/>
                <w:b/>
                <w:color w:val="000000"/>
                <w:sz w:val="18"/>
                <w:szCs w:val="18"/>
                <w:lang w:eastAsia="en-AU"/>
              </w:rPr>
            </w:pP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26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0"/>
                <w:lang w:eastAsia="en-AU"/>
              </w:rPr>
            </w:pPr>
            <w:r>
              <w:rPr>
                <w:rFonts w:ascii="Arial" w:eastAsia="Times New Roman" w:hAnsi="Arial" w:cs="Times New Roman"/>
                <w:b/>
                <w:color w:val="000000"/>
                <w:sz w:val="18"/>
                <w:szCs w:val="18"/>
                <w:lang w:eastAsia="en-AU"/>
              </w:rPr>
              <w:t>Storage for Adrenaline Autoinjector (device specific) (EpiPen®/ Anapen®)</w:t>
            </w:r>
          </w:p>
        </w:tc>
        <w:tc>
          <w:tcPr>
            <w:tcW w:w="7370" w:type="dxa"/>
            <w:gridSpan w:val="6"/>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keepNext/>
              <w:spacing w:before="70" w:after="80" w:line="220" w:lineRule="atLeast"/>
              <w:jc w:val="center"/>
              <w:outlineLvl w:val="2"/>
              <w:rPr>
                <w:rFonts w:ascii="Arial" w:eastAsia="Times New Roman" w:hAnsi="Arial" w:cs="Arial"/>
                <w:b/>
                <w:bCs/>
                <w:color w:val="000000"/>
                <w:lang w:eastAsia="en-AU"/>
              </w:rPr>
            </w:pPr>
            <w:r>
              <w:rPr>
                <w:rFonts w:ascii="Arial" w:eastAsia="Times New Roman" w:hAnsi="Arial" w:cs="Arial"/>
                <w:b/>
                <w:bCs/>
                <w:color w:val="000000"/>
                <w:lang w:eastAsia="en-AU"/>
              </w:rPr>
              <w:t>ENVIRONMENT</w:t>
            </w: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color w:val="000000"/>
                <w:sz w:val="16"/>
                <w:szCs w:val="18"/>
                <w:lang w:eastAsia="en-AU"/>
              </w:rPr>
              <w:t>To be completed by Principal or nominee. Please consider each environment/area (on and off school site) the student will be in for the year, e.g. classroom, canteen, food tech room, sports oval, excursions and camps etc.</w:t>
            </w: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t xml:space="preserve">Name of environment/area: </w:t>
            </w:r>
          </w:p>
        </w:tc>
      </w:tr>
      <w:tr>
        <w:tc>
          <w:tcPr>
            <w:tcW w:w="2128"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9639" w:type="dxa"/>
            <w:gridSpan w:val="8"/>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18"/>
                <w:szCs w:val="18"/>
                <w:lang w:eastAsia="en-AU"/>
              </w:rPr>
            </w:pPr>
            <w:r>
              <w:rPr>
                <w:rFonts w:ascii="Arial" w:eastAsia="Times New Roman" w:hAnsi="Arial" w:cs="Times New Roman"/>
                <w:b/>
                <w:color w:val="000000"/>
                <w:sz w:val="18"/>
                <w:szCs w:val="18"/>
                <w:lang w:eastAsia="en-AU"/>
              </w:rPr>
              <w:lastRenderedPageBreak/>
              <w:t xml:space="preserve">Name of environment/area: </w:t>
            </w:r>
          </w:p>
        </w:tc>
      </w:tr>
      <w:tr>
        <w:tc>
          <w:tcPr>
            <w:tcW w:w="2128"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Risk identified</w:t>
            </w:r>
          </w:p>
        </w:tc>
        <w:tc>
          <w:tcPr>
            <w:tcW w:w="3543" w:type="dxa"/>
            <w:gridSpan w:val="4"/>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Actions required to minimise the risk</w:t>
            </w:r>
          </w:p>
        </w:tc>
        <w:tc>
          <w:tcPr>
            <w:tcW w:w="1917"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Who is responsible?</w:t>
            </w:r>
          </w:p>
        </w:tc>
        <w:tc>
          <w:tcPr>
            <w:tcW w:w="2051"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b/>
                <w:color w:val="000000"/>
                <w:sz w:val="18"/>
                <w:szCs w:val="18"/>
                <w:lang w:eastAsia="en-AU"/>
              </w:rPr>
            </w:pPr>
            <w:r>
              <w:rPr>
                <w:rFonts w:ascii="Arial" w:eastAsia="Times New Roman" w:hAnsi="Arial" w:cs="Times New Roman"/>
                <w:b/>
                <w:color w:val="000000"/>
                <w:sz w:val="18"/>
                <w:szCs w:val="18"/>
                <w:lang w:eastAsia="en-AU"/>
              </w:rPr>
              <w:t>Completion date?</w:t>
            </w: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r>
        <w:tc>
          <w:tcPr>
            <w:tcW w:w="2128"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b/>
                <w:color w:val="000000"/>
                <w:sz w:val="18"/>
                <w:szCs w:val="18"/>
                <w:lang w:eastAsia="en-AU"/>
              </w:rPr>
            </w:pPr>
          </w:p>
        </w:tc>
        <w:tc>
          <w:tcPr>
            <w:tcW w:w="3543" w:type="dxa"/>
            <w:gridSpan w:val="4"/>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1917" w:type="dxa"/>
            <w:gridSpan w:val="2"/>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c>
          <w:tcPr>
            <w:tcW w:w="2051"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18"/>
                <w:szCs w:val="18"/>
                <w:lang w:eastAsia="en-AU"/>
              </w:rPr>
            </w:pPr>
          </w:p>
        </w:tc>
      </w:tr>
    </w:tbl>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r>
        <w:rPr>
          <w:rFonts w:ascii="Arial" w:eastAsia="Times New Roman" w:hAnsi="Arial" w:cs="Times New Roman"/>
          <w:color w:val="000000"/>
          <w:sz w:val="20"/>
          <w:szCs w:val="24"/>
        </w:rPr>
        <w:t>(Continues on next page)</w:t>
      </w: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r>
        <w:rPr>
          <w:rFonts w:ascii="Arial" w:eastAsia="Times New Roman" w:hAnsi="Arial" w:cs="Times New Roman"/>
          <w:noProof/>
          <w:color w:val="000000"/>
          <w:sz w:val="20"/>
          <w:szCs w:val="24"/>
          <w:lang w:eastAsia="en-AU"/>
        </w:rPr>
        <w:lastRenderedPageBreak/>
        <w:drawing>
          <wp:inline distT="0" distB="0" distL="0" distR="0">
            <wp:extent cx="6114415" cy="8642985"/>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8642985"/>
                    </a:xfrm>
                    <a:prstGeom prst="rect">
                      <a:avLst/>
                    </a:prstGeom>
                    <a:noFill/>
                    <a:ln>
                      <a:noFill/>
                    </a:ln>
                  </pic:spPr>
                </pic:pic>
              </a:graphicData>
            </a:graphic>
          </wp:inline>
        </w:drawing>
      </w:r>
    </w:p>
    <w:p>
      <w:pPr>
        <w:spacing w:after="180" w:line="240" w:lineRule="auto"/>
        <w:rPr>
          <w:rFonts w:ascii="Arial" w:eastAsia="Times New Roman" w:hAnsi="Arial" w:cs="Times New Roman"/>
          <w:color w:val="000000"/>
          <w:sz w:val="20"/>
          <w:szCs w:val="24"/>
        </w:rPr>
      </w:pPr>
      <w:r>
        <w:rPr>
          <w:rFonts w:ascii="Arial" w:eastAsia="Times New Roman" w:hAnsi="Arial" w:cs="Times New Roman"/>
          <w:noProof/>
          <w:color w:val="000000"/>
          <w:sz w:val="20"/>
          <w:szCs w:val="24"/>
          <w:lang w:eastAsia="en-AU"/>
        </w:rPr>
        <w:lastRenderedPageBreak/>
        <w:drawing>
          <wp:inline distT="0" distB="0" distL="0" distR="0">
            <wp:extent cx="6114415" cy="8642985"/>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8642985"/>
                    </a:xfrm>
                    <a:prstGeom prst="rect">
                      <a:avLst/>
                    </a:prstGeom>
                    <a:noFill/>
                    <a:ln>
                      <a:noFill/>
                    </a:ln>
                  </pic:spPr>
                </pic:pic>
              </a:graphicData>
            </a:graphic>
          </wp:inline>
        </w:drawing>
      </w:r>
    </w:p>
    <w:p>
      <w:pPr>
        <w:spacing w:after="180" w:line="240" w:lineRule="auto"/>
        <w:rPr>
          <w:rFonts w:ascii="Arial" w:eastAsia="Times New Roman" w:hAnsi="Arial" w:cs="Times New Roman"/>
          <w:color w:val="000000"/>
          <w:sz w:val="20"/>
          <w:szCs w:val="24"/>
        </w:rPr>
      </w:pPr>
    </w:p>
    <w:p>
      <w:pPr>
        <w:spacing w:after="180" w:line="240" w:lineRule="auto"/>
        <w:rPr>
          <w:rFonts w:ascii="Arial" w:eastAsia="Times New Roman" w:hAnsi="Arial" w:cs="Times New Roman"/>
          <w:color w:val="000000"/>
          <w:sz w:val="20"/>
          <w:szCs w:val="24"/>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237"/>
      </w:tblGrid>
      <w:tr>
        <w:tc>
          <w:tcPr>
            <w:tcW w:w="9639" w:type="dxa"/>
            <w:gridSpan w:val="2"/>
            <w:tcBorders>
              <w:top w:val="single" w:sz="4" w:space="0" w:color="auto"/>
              <w:left w:val="single" w:sz="4" w:space="0" w:color="auto"/>
              <w:bottom w:val="single" w:sz="4" w:space="0" w:color="auto"/>
              <w:right w:val="single" w:sz="4" w:space="0" w:color="auto"/>
            </w:tcBorders>
            <w:hideMark/>
          </w:tcPr>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lastRenderedPageBreak/>
              <w:t>This Individual Anaphylaxis Management Plan will be reviewed on any of the following occurrences (whichever happen earlier):</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annually;</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if the student's medical condition, insofar as it relates to allergy and the potential for anaphylactic reaction, changes ;</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as soon as practicable after the student has an anaphylactic reaction at School; and</w:t>
            </w:r>
          </w:p>
          <w:p>
            <w:pPr>
              <w:spacing w:after="180" w:line="220" w:lineRule="atLeast"/>
              <w:rPr>
                <w:rFonts w:ascii="Arial" w:eastAsia="Times New Roman" w:hAnsi="Arial" w:cs="Times New Roman"/>
                <w:color w:val="000000"/>
                <w:sz w:val="20"/>
                <w:szCs w:val="24"/>
                <w:lang w:eastAsia="en-AU"/>
              </w:rPr>
            </w:pPr>
            <w:proofErr w:type="gramStart"/>
            <w:r>
              <w:rPr>
                <w:rFonts w:ascii="Arial" w:eastAsia="Times New Roman" w:hAnsi="Arial" w:cs="Times New Roman"/>
                <w:color w:val="000000"/>
                <w:sz w:val="20"/>
                <w:szCs w:val="24"/>
                <w:lang w:eastAsia="en-AU"/>
              </w:rPr>
              <w:t>when</w:t>
            </w:r>
            <w:proofErr w:type="gramEnd"/>
            <w:r>
              <w:rPr>
                <w:rFonts w:ascii="Arial" w:eastAsia="Times New Roman" w:hAnsi="Arial" w:cs="Times New Roman"/>
                <w:color w:val="000000"/>
                <w:sz w:val="20"/>
                <w:szCs w:val="24"/>
                <w:lang w:eastAsia="en-AU"/>
              </w:rPr>
              <w:t xml:space="preserve"> the student is to participate in an off-site activity, such as camps and excursions, or at special events conducted, organised or attended by the School (</w:t>
            </w:r>
            <w:proofErr w:type="spellStart"/>
            <w:r>
              <w:rPr>
                <w:rFonts w:ascii="Arial" w:eastAsia="Times New Roman" w:hAnsi="Arial" w:cs="Times New Roman"/>
                <w:color w:val="000000"/>
                <w:sz w:val="20"/>
                <w:szCs w:val="24"/>
                <w:lang w:eastAsia="en-AU"/>
              </w:rPr>
              <w:t>eg</w:t>
            </w:r>
            <w:proofErr w:type="spellEnd"/>
            <w:r>
              <w:rPr>
                <w:rFonts w:ascii="Arial" w:eastAsia="Times New Roman" w:hAnsi="Arial" w:cs="Times New Roman"/>
                <w:color w:val="000000"/>
                <w:sz w:val="20"/>
                <w:szCs w:val="24"/>
                <w:lang w:eastAsia="en-AU"/>
              </w:rPr>
              <w:t>. class parties, elective subjects, cultural days, fetes, incursions).</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have been consulted in the development of this Individual Anaphylaxis Management Plan.</w:t>
            </w:r>
          </w:p>
          <w:p>
            <w:pPr>
              <w:spacing w:after="84"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consent to the risk minimisation strategies proposed.</w:t>
            </w:r>
          </w:p>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Risk minimisation strategies are available at Chapter 8 - Prevention Strategies of the Anaphylaxis Guidelines</w:t>
            </w:r>
          </w:p>
        </w:tc>
      </w:tr>
      <w:tr>
        <w:tc>
          <w:tcPr>
            <w:tcW w:w="3402"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Signature of parent:</w:t>
            </w:r>
          </w:p>
        </w:tc>
        <w:tc>
          <w:tcPr>
            <w:tcW w:w="6237"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p>
            <w:pPr>
              <w:spacing w:after="180" w:line="220" w:lineRule="atLeast"/>
              <w:rPr>
                <w:rFonts w:ascii="Arial" w:eastAsia="Times New Roman" w:hAnsi="Arial" w:cs="Times New Roman"/>
                <w:color w:val="000000"/>
                <w:sz w:val="20"/>
                <w:szCs w:val="24"/>
                <w:lang w:eastAsia="en-AU"/>
              </w:rPr>
            </w:pPr>
          </w:p>
        </w:tc>
      </w:tr>
      <w:tr>
        <w:tc>
          <w:tcPr>
            <w:tcW w:w="3402"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w:t>
            </w:r>
          </w:p>
        </w:tc>
        <w:tc>
          <w:tcPr>
            <w:tcW w:w="6237"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c>
          <w:tcPr>
            <w:tcW w:w="9639" w:type="dxa"/>
            <w:gridSpan w:val="2"/>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I have consulted the Parents of the students and the relevant School Staff who will be involved in the implementation of this Individual Anaphylaxis Management Plan.</w:t>
            </w:r>
          </w:p>
        </w:tc>
      </w:tr>
      <w:tr>
        <w:tc>
          <w:tcPr>
            <w:tcW w:w="3402"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Signature of Principal (or nominee):</w:t>
            </w:r>
          </w:p>
          <w:p>
            <w:pPr>
              <w:spacing w:after="180" w:line="220" w:lineRule="atLeast"/>
              <w:rPr>
                <w:rFonts w:ascii="Arial" w:eastAsia="Times New Roman" w:hAnsi="Arial" w:cs="Times New Roman"/>
                <w:color w:val="000000"/>
                <w:sz w:val="20"/>
                <w:szCs w:val="24"/>
                <w:lang w:eastAsia="en-AU"/>
              </w:rPr>
            </w:pPr>
          </w:p>
        </w:tc>
        <w:tc>
          <w:tcPr>
            <w:tcW w:w="6237"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r>
        <w:tc>
          <w:tcPr>
            <w:tcW w:w="3402" w:type="dxa"/>
            <w:tcBorders>
              <w:top w:val="single" w:sz="4" w:space="0" w:color="auto"/>
              <w:left w:val="single" w:sz="4" w:space="0" w:color="auto"/>
              <w:bottom w:val="single" w:sz="4" w:space="0" w:color="auto"/>
              <w:right w:val="single" w:sz="4" w:space="0" w:color="auto"/>
            </w:tcBorders>
            <w:hideMark/>
          </w:tcPr>
          <w:p>
            <w:pPr>
              <w:spacing w:after="180" w:line="220" w:lineRule="atLeast"/>
              <w:rPr>
                <w:rFonts w:ascii="Arial" w:eastAsia="Times New Roman" w:hAnsi="Arial" w:cs="Times New Roman"/>
                <w:color w:val="000000"/>
                <w:sz w:val="20"/>
                <w:szCs w:val="24"/>
                <w:lang w:eastAsia="en-AU"/>
              </w:rPr>
            </w:pPr>
            <w:r>
              <w:rPr>
                <w:rFonts w:ascii="Arial" w:eastAsia="Times New Roman" w:hAnsi="Arial" w:cs="Times New Roman"/>
                <w:color w:val="000000"/>
                <w:sz w:val="20"/>
                <w:szCs w:val="24"/>
                <w:lang w:eastAsia="en-AU"/>
              </w:rPr>
              <w:t>Date:</w:t>
            </w:r>
          </w:p>
        </w:tc>
        <w:tc>
          <w:tcPr>
            <w:tcW w:w="6237" w:type="dxa"/>
            <w:tcBorders>
              <w:top w:val="single" w:sz="4" w:space="0" w:color="auto"/>
              <w:left w:val="single" w:sz="4" w:space="0" w:color="auto"/>
              <w:bottom w:val="single" w:sz="4" w:space="0" w:color="auto"/>
              <w:right w:val="single" w:sz="4" w:space="0" w:color="auto"/>
            </w:tcBorders>
          </w:tcPr>
          <w:p>
            <w:pPr>
              <w:spacing w:after="180" w:line="220" w:lineRule="atLeast"/>
              <w:rPr>
                <w:rFonts w:ascii="Arial" w:eastAsia="Times New Roman" w:hAnsi="Arial" w:cs="Times New Roman"/>
                <w:color w:val="000000"/>
                <w:sz w:val="20"/>
                <w:szCs w:val="24"/>
                <w:lang w:eastAsia="en-AU"/>
              </w:rPr>
            </w:pPr>
          </w:p>
        </w:tc>
      </w:tr>
    </w:tbl>
    <w:p>
      <w:pPr>
        <w:spacing w:after="180" w:line="240" w:lineRule="auto"/>
        <w:rPr>
          <w:rFonts w:ascii="Arial" w:eastAsia="Times New Roman" w:hAnsi="Arial" w:cs="Times New Roman"/>
          <w:color w:val="000000"/>
          <w:sz w:val="20"/>
          <w:szCs w:val="24"/>
        </w:rPr>
      </w:pPr>
    </w:p>
    <w:p>
      <w:pPr>
        <w:rPr>
          <w:b/>
        </w:rPr>
      </w:pPr>
    </w:p>
    <w:p>
      <w:pPr>
        <w:jc w:val="both"/>
        <w:rPr>
          <w:rFonts w:cstheme="minorHAnsi"/>
        </w:rPr>
      </w:pPr>
    </w:p>
    <w:p>
      <w:pPr>
        <w:jc w:val="both"/>
        <w:rPr>
          <w:rFonts w:cstheme="minorHAnsi"/>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p>
    <w:p>
      <w:pPr>
        <w:keepNext/>
        <w:spacing w:after="0" w:line="240" w:lineRule="auto"/>
        <w:ind w:right="-1418"/>
        <w:outlineLvl w:val="0"/>
        <w:rPr>
          <w:rFonts w:ascii="Times New Roman" w:eastAsia="Times New Roman" w:hAnsi="Times New Roman" w:cs="Times New Roman"/>
          <w:sz w:val="24"/>
          <w:szCs w:val="24"/>
        </w:rPr>
      </w:pPr>
      <w:bookmarkStart w:id="1" w:name="_GoBack"/>
      <w:bookmarkEnd w:id="1"/>
    </w:p>
    <w:bookmarkEnd w:id="0"/>
    <w:sectPr>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5578"/>
    <w:multiLevelType w:val="hybridMultilevel"/>
    <w:tmpl w:val="590A27C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2213E2A"/>
    <w:multiLevelType w:val="hybridMultilevel"/>
    <w:tmpl w:val="12CC94F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E27137"/>
    <w:multiLevelType w:val="hybridMultilevel"/>
    <w:tmpl w:val="2B48DE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99231DC"/>
    <w:multiLevelType w:val="hybridMultilevel"/>
    <w:tmpl w:val="E3F60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E0A1EC2"/>
    <w:multiLevelType w:val="hybridMultilevel"/>
    <w:tmpl w:val="5D40D6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0836780"/>
    <w:multiLevelType w:val="hybridMultilevel"/>
    <w:tmpl w:val="C6148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8C37410"/>
    <w:multiLevelType w:val="hybridMultilevel"/>
    <w:tmpl w:val="ABEACB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FED59B1"/>
    <w:multiLevelType w:val="hybridMultilevel"/>
    <w:tmpl w:val="239CA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9250A31"/>
    <w:multiLevelType w:val="hybridMultilevel"/>
    <w:tmpl w:val="501CB9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D955009"/>
    <w:multiLevelType w:val="hybridMultilevel"/>
    <w:tmpl w:val="4A667E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5644485"/>
    <w:multiLevelType w:val="hybridMultilevel"/>
    <w:tmpl w:val="C7A23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96E57F9"/>
    <w:multiLevelType w:val="hybridMultilevel"/>
    <w:tmpl w:val="813658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B541E99"/>
    <w:multiLevelType w:val="hybridMultilevel"/>
    <w:tmpl w:val="022A50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D2A0E94"/>
    <w:multiLevelType w:val="hybridMultilevel"/>
    <w:tmpl w:val="03BCB4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E6968D3"/>
    <w:multiLevelType w:val="hybridMultilevel"/>
    <w:tmpl w:val="72BAC5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73C59C6"/>
    <w:multiLevelType w:val="hybridMultilevel"/>
    <w:tmpl w:val="B4A800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575B11A1"/>
    <w:multiLevelType w:val="hybridMultilevel"/>
    <w:tmpl w:val="02F0EF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7CE396F"/>
    <w:multiLevelType w:val="hybridMultilevel"/>
    <w:tmpl w:val="3BE63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F7D128A"/>
    <w:multiLevelType w:val="hybridMultilevel"/>
    <w:tmpl w:val="FBF23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AC059EE"/>
    <w:multiLevelType w:val="hybridMultilevel"/>
    <w:tmpl w:val="6876F85A"/>
    <w:lvl w:ilvl="0" w:tplc="62B655F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7CC60CA6"/>
    <w:multiLevelType w:val="hybridMultilevel"/>
    <w:tmpl w:val="FB5CB6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24"/>
  </w:num>
  <w:num w:numId="4">
    <w:abstractNumId w:val="9"/>
  </w:num>
  <w:num w:numId="5">
    <w:abstractNumId w:val="13"/>
  </w:num>
  <w:num w:numId="6">
    <w:abstractNumId w:val="21"/>
  </w:num>
  <w:num w:numId="7">
    <w:abstractNumId w:val="3"/>
  </w:num>
  <w:num w:numId="8">
    <w:abstractNumId w:val="11"/>
  </w:num>
  <w:num w:numId="9">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2"/>
  </w:num>
  <w:num w:numId="12">
    <w:abstractNumId w:val="20"/>
  </w:num>
  <w:num w:numId="13">
    <w:abstractNumId w:val="22"/>
  </w:num>
  <w:num w:numId="14">
    <w:abstractNumId w:val="6"/>
  </w:num>
  <w:num w:numId="15">
    <w:abstractNumId w:val="18"/>
  </w:num>
  <w:num w:numId="16">
    <w:abstractNumId w:val="15"/>
  </w:num>
  <w:num w:numId="17">
    <w:abstractNumId w:val="5"/>
  </w:num>
  <w:num w:numId="18">
    <w:abstractNumId w:val="0"/>
  </w:num>
  <w:num w:numId="19">
    <w:abstractNumId w:val="16"/>
  </w:num>
  <w:num w:numId="20">
    <w:abstractNumId w:val="7"/>
  </w:num>
  <w:num w:numId="21">
    <w:abstractNumId w:val="17"/>
  </w:num>
  <w:num w:numId="22">
    <w:abstractNumId w:val="4"/>
  </w:num>
  <w:num w:numId="23">
    <w:abstractNumId w:val="14"/>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B26AFA-3B0B-4020-837D-AD6FF010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color w:val="FF0000"/>
      <w:sz w:val="56"/>
      <w:szCs w:val="24"/>
    </w:rPr>
  </w:style>
  <w:style w:type="paragraph" w:styleId="Heading2">
    <w:name w:val="heading 2"/>
    <w:basedOn w:val="Normal"/>
    <w:next w:val="Normal"/>
    <w:link w:val="Heading2Char"/>
    <w:qFormat/>
    <w:pPr>
      <w:keepNext/>
      <w:spacing w:after="0" w:line="240" w:lineRule="auto"/>
      <w:jc w:val="center"/>
      <w:outlineLvl w:val="1"/>
    </w:pPr>
    <w:rPr>
      <w:rFonts w:ascii="Verdana" w:eastAsia="Times New Roman" w:hAnsi="Verdana" w:cs="Times New Roman"/>
      <w:b/>
      <w:sz w:val="20"/>
      <w:szCs w:val="20"/>
    </w:rPr>
  </w:style>
  <w:style w:type="paragraph" w:styleId="Heading3">
    <w:name w:val="heading 3"/>
    <w:basedOn w:val="Normal"/>
    <w:next w:val="Normal"/>
    <w:link w:val="Heading3Char"/>
    <w:semiHidden/>
    <w:unhideWhenUsed/>
    <w:qFormat/>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Heading1Char">
    <w:name w:val="Heading 1 Char"/>
    <w:basedOn w:val="DefaultParagraphFont"/>
    <w:link w:val="Heading1"/>
    <w:rPr>
      <w:rFonts w:ascii="Times New Roman" w:eastAsia="Times New Roman" w:hAnsi="Times New Roman" w:cs="Times New Roman"/>
      <w:b/>
      <w:color w:val="FF0000"/>
      <w:sz w:val="56"/>
      <w:szCs w:val="24"/>
    </w:rPr>
  </w:style>
  <w:style w:type="character" w:customStyle="1" w:styleId="Heading2Char">
    <w:name w:val="Heading 2 Char"/>
    <w:basedOn w:val="DefaultParagraphFont"/>
    <w:link w:val="Heading2"/>
    <w:rPr>
      <w:rFonts w:ascii="Verdana" w:eastAsia="Times New Roman" w:hAnsi="Verdana" w:cs="Times New Roman"/>
      <w:b/>
      <w:sz w:val="20"/>
      <w:szCs w:val="20"/>
    </w:rPr>
  </w:style>
  <w:style w:type="character" w:customStyle="1" w:styleId="Heading3Char">
    <w:name w:val="Heading 3 Char"/>
    <w:basedOn w:val="DefaultParagraphFont"/>
    <w:link w:val="Heading3"/>
    <w:semiHidden/>
    <w:rPr>
      <w:rFonts w:ascii="Cambria" w:eastAsia="Times New Roman" w:hAnsi="Cambria" w:cs="Times New Roman"/>
      <w:b/>
      <w:bCs/>
      <w:sz w:val="26"/>
      <w:szCs w:val="26"/>
    </w:rPr>
  </w:style>
  <w:style w:type="numbering" w:customStyle="1" w:styleId="NoList1">
    <w:name w:val="No List1"/>
    <w:next w:val="NoList"/>
    <w:semiHidden/>
  </w:style>
  <w:style w:type="paragraph" w:styleId="Header">
    <w:name w:val="header"/>
    <w:basedOn w:val="Normal"/>
    <w:link w:val="HeaderChar"/>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Pr>
      <w:rFonts w:ascii="Times New Roman" w:eastAsia="Times New Roman" w:hAnsi="Times New Roman" w:cs="Times New Roman"/>
      <w:sz w:val="24"/>
      <w:szCs w:val="24"/>
    </w:rPr>
  </w:style>
  <w:style w:type="character" w:styleId="Hyperlink">
    <w:name w:val="Hyperlink"/>
    <w:rPr>
      <w:color w:val="0000FF"/>
      <w:u w:val="single"/>
    </w:r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basedOn w:val="Normal"/>
    <w:link w:val="TitleChar"/>
    <w:qFormat/>
    <w:pPr>
      <w:spacing w:after="0" w:line="240" w:lineRule="auto"/>
      <w:ind w:left="709"/>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Pr>
      <w:rFonts w:ascii="Times New Roman" w:eastAsia="Times New Roman" w:hAnsi="Times New Roman" w:cs="Times New Roman"/>
      <w:b/>
      <w:sz w:val="24"/>
      <w:szCs w:val="24"/>
      <w:u w:val="single"/>
    </w:rPr>
  </w:style>
  <w:style w:type="paragraph" w:styleId="Subtitle">
    <w:name w:val="Subtitle"/>
    <w:basedOn w:val="Normal"/>
    <w:link w:val="SubtitleChar"/>
    <w:qFormat/>
    <w:pPr>
      <w:spacing w:after="0" w:line="240" w:lineRule="auto"/>
      <w:ind w:left="709"/>
      <w:jc w:val="center"/>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Pr>
      <w:rFonts w:ascii="Times New Roman" w:eastAsia="Times New Roman" w:hAnsi="Times New Roman" w:cs="Times New Roman"/>
      <w:b/>
      <w:sz w:val="24"/>
      <w:szCs w:val="24"/>
    </w:rPr>
  </w:style>
  <w:style w:type="paragraph" w:styleId="BodyText">
    <w:name w:val="Body Text"/>
    <w:basedOn w:val="Normal"/>
    <w:link w:val="BodyTextChar"/>
    <w:pPr>
      <w:spacing w:after="0" w:line="240" w:lineRule="auto"/>
    </w:pPr>
    <w:rPr>
      <w:rFonts w:ascii="Verdana" w:eastAsia="Times New Roman" w:hAnsi="Verdana" w:cs="Times New Roman"/>
      <w:sz w:val="20"/>
      <w:szCs w:val="20"/>
    </w:rPr>
  </w:style>
  <w:style w:type="character" w:customStyle="1" w:styleId="BodyTextChar">
    <w:name w:val="Body Text Char"/>
    <w:basedOn w:val="DefaultParagraphFont"/>
    <w:link w:val="BodyText"/>
    <w:rPr>
      <w:rFonts w:ascii="Verdana" w:eastAsia="Times New Roman" w:hAnsi="Verdana" w:cs="Times New Roman"/>
      <w:sz w:val="20"/>
      <w:szCs w:val="20"/>
    </w:rPr>
  </w:style>
  <w:style w:type="table" w:styleId="TableGrid">
    <w:name w:val="Table Grid"/>
    <w:basedOn w:val="TableNormal"/>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90" w:line="22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75459">
      <w:bodyDiv w:val="1"/>
      <w:marLeft w:val="0"/>
      <w:marRight w:val="0"/>
      <w:marTop w:val="0"/>
      <w:marBottom w:val="0"/>
      <w:divBdr>
        <w:top w:val="none" w:sz="0" w:space="0" w:color="auto"/>
        <w:left w:val="none" w:sz="0" w:space="0" w:color="auto"/>
        <w:bottom w:val="none" w:sz="0" w:space="0" w:color="auto"/>
        <w:right w:val="none" w:sz="0" w:space="0" w:color="auto"/>
      </w:divBdr>
    </w:div>
    <w:div w:id="698819601">
      <w:bodyDiv w:val="1"/>
      <w:marLeft w:val="0"/>
      <w:marRight w:val="0"/>
      <w:marTop w:val="0"/>
      <w:marBottom w:val="0"/>
      <w:divBdr>
        <w:top w:val="none" w:sz="0" w:space="0" w:color="auto"/>
        <w:left w:val="none" w:sz="0" w:space="0" w:color="auto"/>
        <w:bottom w:val="none" w:sz="0" w:space="0" w:color="auto"/>
        <w:right w:val="none" w:sz="0" w:space="0" w:color="auto"/>
      </w:divBdr>
    </w:div>
    <w:div w:id="778180696">
      <w:bodyDiv w:val="1"/>
      <w:marLeft w:val="0"/>
      <w:marRight w:val="0"/>
      <w:marTop w:val="0"/>
      <w:marBottom w:val="0"/>
      <w:divBdr>
        <w:top w:val="none" w:sz="0" w:space="0" w:color="auto"/>
        <w:left w:val="none" w:sz="0" w:space="0" w:color="auto"/>
        <w:bottom w:val="none" w:sz="0" w:space="0" w:color="auto"/>
        <w:right w:val="none" w:sz="0" w:space="0" w:color="auto"/>
      </w:divBdr>
    </w:div>
    <w:div w:id="174020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principals/spag/health/Pages/anaphylaxis.aspx"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education.vic.gov.au/school/teachers/health/pages/anaphylaxisschl.aspx" TargetMode="External"/><Relationship Id="rId12" Type="http://schemas.openxmlformats.org/officeDocument/2006/relationships/hyperlink" Target="https://www.rch.org.au/allergy/about_us/Allergy_and_Immunolog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ucation.vic.gov.au/school/teachers/health/pages/anaphylaxisschl.aspx" TargetMode="External"/><Relationship Id="rId11" Type="http://schemas.openxmlformats.org/officeDocument/2006/relationships/hyperlink" Target="https://allergyfacts.org.au/allergy-management/schooling-childcar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edugate.eduweb.vic.gov.au/edulibrary/Schools/teachers/health/riskminimisation.pdf" TargetMode="External"/><Relationship Id="rId4" Type="http://schemas.openxmlformats.org/officeDocument/2006/relationships/webSettings" Target="webSettings.xml"/><Relationship Id="rId9" Type="http://schemas.openxmlformats.org/officeDocument/2006/relationships/hyperlink" Target="http://www.education.vic.gov.au/school/teachers/health/pages/anaphylaxisschl.aspx"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21</Pages>
  <Words>5626</Words>
  <Characters>32074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37625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Kennedy, Heather J</dc:creator>
  <cp:lastModifiedBy>Heather Kennedy</cp:lastModifiedBy>
  <cp:revision>6</cp:revision>
  <cp:lastPrinted>2019-05-30T00:42:00Z</cp:lastPrinted>
  <dcterms:created xsi:type="dcterms:W3CDTF">2018-08-09T00:32:00Z</dcterms:created>
  <dcterms:modified xsi:type="dcterms:W3CDTF">2019-05-30T03:14:00Z</dcterms:modified>
</cp:coreProperties>
</file>