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Malgun Gothic" w:eastAsia="Malgun Gothic" w:hAnsi="Malgun Gothic"/>
          <w:b/>
        </w:rPr>
      </w:pPr>
      <w:r>
        <w:rPr>
          <w:rFonts w:ascii="Malgun Gothic" w:eastAsia="Malgun Gothic" w:hAnsi="Malgun Gothic"/>
          <w:b/>
        </w:rPr>
        <w:t xml:space="preserve">INTRODUCTION </w:t>
      </w:r>
      <w:r>
        <w:rPr>
          <w:rFonts w:ascii="Malgun Gothic" w:eastAsia="Malgun Gothic" w:hAnsi="Malgun Gothic"/>
          <w:b/>
        </w:rPr>
        <w:tab/>
        <w:t xml:space="preserve"> </w:t>
      </w:r>
    </w:p>
    <w:p>
      <w:pPr>
        <w:jc w:val="both"/>
        <w:rPr>
          <w:rFonts w:ascii="Malgun Gothic" w:eastAsia="Malgun Gothic" w:hAnsi="Malgun Gothic"/>
        </w:rPr>
      </w:pPr>
      <w:r>
        <w:rPr>
          <w:rFonts w:ascii="Malgun Gothic" w:eastAsia="Malgun Gothic" w:hAnsi="Malgun Gothic"/>
        </w:rPr>
        <w:t xml:space="preserve">Toolamba Primary School is committed to the creation of a safe, just and respectful environment that supports wellness for all members of the School community. In this, there is a moral obligation and shared responsibility to protect the most vulnerable members of the community.  </w:t>
      </w:r>
    </w:p>
    <w:p>
      <w:pPr>
        <w:jc w:val="both"/>
        <w:rPr>
          <w:rFonts w:ascii="Malgun Gothic" w:eastAsia="Malgun Gothic" w:hAnsi="Malgun Gothic"/>
        </w:rPr>
      </w:pPr>
      <w:r>
        <w:rPr>
          <w:rFonts w:ascii="Malgun Gothic" w:eastAsia="Malgun Gothic" w:hAnsi="Malgun Gothic"/>
        </w:rPr>
        <w:t xml:space="preserve">Toolamba Primary School believes that, while protecting children and young people against sexual abuse is a community wide responsibility, Schools have particular moral and legal responsibilities to ensure children and young people are safe in their care and to actively and intentionally work to eliminate all forms of abusive behaviours towards children. There are also particular moral and legal obligations for those in authority to prevent, reduce and minimise child abuse and exploitation in all forms.  </w:t>
      </w:r>
    </w:p>
    <w:p>
      <w:pPr>
        <w:jc w:val="both"/>
        <w:rPr>
          <w:rFonts w:ascii="Malgun Gothic" w:eastAsia="Malgun Gothic" w:hAnsi="Malgun Gothic"/>
          <w:b/>
        </w:rPr>
      </w:pPr>
      <w:r>
        <w:rPr>
          <w:rFonts w:ascii="Malgun Gothic" w:eastAsia="Malgun Gothic" w:hAnsi="Malgun Gothic"/>
        </w:rPr>
        <w:t xml:space="preserve"> </w:t>
      </w:r>
      <w:r>
        <w:rPr>
          <w:rFonts w:ascii="Malgun Gothic" w:eastAsia="Malgun Gothic" w:hAnsi="Malgun Gothic"/>
          <w:b/>
        </w:rPr>
        <w:t xml:space="preserve">AIM </w:t>
      </w:r>
    </w:p>
    <w:p>
      <w:pPr>
        <w:jc w:val="both"/>
        <w:rPr>
          <w:rFonts w:ascii="Malgun Gothic" w:eastAsia="Malgun Gothic" w:hAnsi="Malgun Gothic"/>
        </w:rPr>
      </w:pPr>
      <w:r>
        <w:rPr>
          <w:rFonts w:ascii="Malgun Gothic" w:eastAsia="Malgun Gothic" w:hAnsi="Malgun Gothic"/>
        </w:rPr>
        <w:t xml:space="preserve">This policy applies to the whole School community in supporting safe environments for all children and young people.  </w:t>
      </w:r>
    </w:p>
    <w:p>
      <w:pPr>
        <w:jc w:val="both"/>
        <w:rPr>
          <w:rFonts w:ascii="Malgun Gothic" w:eastAsia="Malgun Gothic" w:hAnsi="Malgun Gothic"/>
        </w:rPr>
      </w:pPr>
      <w:r>
        <w:rPr>
          <w:rFonts w:ascii="Malgun Gothic" w:eastAsia="Malgun Gothic" w:hAnsi="Malgun Gothic"/>
        </w:rPr>
        <w:t xml:space="preserve">The obligations of ‘failure to disclose’ are separate from, and in addition to, Mandatory Reporting obligations.  </w:t>
      </w:r>
    </w:p>
    <w:p>
      <w:pPr>
        <w:jc w:val="both"/>
        <w:rPr>
          <w:rFonts w:ascii="Malgun Gothic" w:eastAsia="Malgun Gothic" w:hAnsi="Malgun Gothic"/>
        </w:rPr>
      </w:pPr>
      <w:r>
        <w:rPr>
          <w:rFonts w:ascii="Malgun Gothic" w:eastAsia="Malgun Gothic" w:hAnsi="Malgun Gothic"/>
        </w:rPr>
        <w:t xml:space="preserve">Its purpose concerns the new criminal offence under the Victorian Crimes Act, commencing 27 October 2014, ‘failure to disclose, which provides that: </w:t>
      </w:r>
    </w:p>
    <w:p>
      <w:pPr>
        <w:numPr>
          <w:ilvl w:val="0"/>
          <w:numId w:val="2"/>
        </w:numPr>
        <w:jc w:val="both"/>
        <w:rPr>
          <w:rFonts w:ascii="Malgun Gothic" w:eastAsia="Malgun Gothic" w:hAnsi="Malgun Gothic"/>
        </w:rPr>
      </w:pPr>
      <w:r>
        <w:rPr>
          <w:rFonts w:ascii="Malgun Gothic" w:eastAsia="Malgun Gothic" w:hAnsi="Malgun Gothic"/>
          <w:b/>
        </w:rPr>
        <w:t>All adults</w:t>
      </w:r>
      <w:r>
        <w:rPr>
          <w:rFonts w:ascii="Malgun Gothic" w:eastAsia="Malgun Gothic" w:hAnsi="Malgun Gothic"/>
        </w:rPr>
        <w:t xml:space="preserve"> who form a reasonable belief that a sexual offence has been committed by an adult against a child under 16 has an obligation to report that information to police. Failure to disclose the information to police is a criminal offence.  </w:t>
      </w:r>
    </w:p>
    <w:p>
      <w:pPr>
        <w:numPr>
          <w:ilvl w:val="0"/>
          <w:numId w:val="2"/>
        </w:numPr>
        <w:jc w:val="both"/>
        <w:rPr>
          <w:rFonts w:ascii="Malgun Gothic" w:eastAsia="Malgun Gothic" w:hAnsi="Malgun Gothic"/>
        </w:rPr>
      </w:pPr>
      <w:r>
        <w:rPr>
          <w:rFonts w:ascii="Malgun Gothic" w:eastAsia="Malgun Gothic" w:hAnsi="Malgun Gothic"/>
        </w:rPr>
        <w:t xml:space="preserve">An adult will not be guilty of the offence if they have a </w:t>
      </w:r>
      <w:r>
        <w:rPr>
          <w:rFonts w:ascii="Malgun Gothic" w:eastAsia="Malgun Gothic" w:hAnsi="Malgun Gothic"/>
          <w:b/>
          <w:i/>
        </w:rPr>
        <w:t xml:space="preserve">reasonable excuse </w:t>
      </w:r>
      <w:r>
        <w:rPr>
          <w:rFonts w:ascii="Malgun Gothic" w:eastAsia="Malgun Gothic" w:hAnsi="Malgun Gothic"/>
        </w:rPr>
        <w:t xml:space="preserve">for not disclosing the information. A reasonable excuse includes: </w:t>
      </w:r>
    </w:p>
    <w:p>
      <w:pPr>
        <w:numPr>
          <w:ilvl w:val="1"/>
          <w:numId w:val="2"/>
        </w:numPr>
        <w:jc w:val="both"/>
        <w:rPr>
          <w:rFonts w:ascii="Malgun Gothic" w:eastAsia="Malgun Gothic" w:hAnsi="Malgun Gothic"/>
        </w:rPr>
      </w:pPr>
      <w:r>
        <w:rPr>
          <w:rFonts w:ascii="Malgun Gothic" w:eastAsia="Malgun Gothic" w:hAnsi="Malgun Gothic"/>
        </w:rPr>
        <w:t xml:space="preserve">fear for safety, </w:t>
      </w:r>
    </w:p>
    <w:p>
      <w:pPr>
        <w:numPr>
          <w:ilvl w:val="1"/>
          <w:numId w:val="2"/>
        </w:numPr>
        <w:jc w:val="both"/>
        <w:rPr>
          <w:rFonts w:ascii="Malgun Gothic" w:eastAsia="Malgun Gothic" w:hAnsi="Malgun Gothic"/>
        </w:rPr>
      </w:pPr>
      <w:proofErr w:type="gramStart"/>
      <w:r>
        <w:rPr>
          <w:rFonts w:ascii="Malgun Gothic" w:eastAsia="Malgun Gothic" w:hAnsi="Malgun Gothic"/>
        </w:rPr>
        <w:lastRenderedPageBreak/>
        <w:t>where</w:t>
      </w:r>
      <w:proofErr w:type="gramEnd"/>
      <w:r>
        <w:rPr>
          <w:rFonts w:ascii="Malgun Gothic" w:eastAsia="Malgun Gothic" w:hAnsi="Malgun Gothic"/>
        </w:rPr>
        <w:t xml:space="preserve"> the information has already been disclosed.  </w:t>
      </w:r>
    </w:p>
    <w:p>
      <w:pPr>
        <w:jc w:val="both"/>
        <w:rPr>
          <w:rFonts w:ascii="Malgun Gothic" w:eastAsia="Malgun Gothic" w:hAnsi="Malgun Gothic"/>
        </w:rPr>
      </w:pPr>
      <w:r>
        <w:rPr>
          <w:rFonts w:ascii="Malgun Gothic" w:eastAsia="Malgun Gothic" w:hAnsi="Malgun Gothic"/>
        </w:rPr>
        <w:t xml:space="preserve">Note: It is a </w:t>
      </w:r>
      <w:r>
        <w:rPr>
          <w:rFonts w:ascii="Malgun Gothic" w:eastAsia="Malgun Gothic" w:hAnsi="Malgun Gothic"/>
          <w:b/>
        </w:rPr>
        <w:t>reasonable excuse</w:t>
      </w:r>
      <w:r>
        <w:rPr>
          <w:rFonts w:ascii="Malgun Gothic" w:eastAsia="Malgun Gothic" w:hAnsi="Malgun Gothic"/>
        </w:rPr>
        <w:t xml:space="preserve"> to not disclose where a person believes on reasonable grounds that the information has already been disclosed to police and they have no further information to report; for example, where the person has already made a report under the mandatory reporting obligation specified in the </w:t>
      </w:r>
      <w:r>
        <w:rPr>
          <w:rFonts w:ascii="Malgun Gothic" w:eastAsia="Malgun Gothic" w:hAnsi="Malgun Gothic"/>
          <w:i/>
        </w:rPr>
        <w:t xml:space="preserve">Children, Youth and Families Act 2005. </w:t>
      </w:r>
      <w:r>
        <w:rPr>
          <w:rFonts w:ascii="Malgun Gothic" w:eastAsia="Malgun Gothic" w:hAnsi="Malgun Gothic"/>
        </w:rPr>
        <w:t xml:space="preserve">  </w:t>
      </w:r>
    </w:p>
    <w:p>
      <w:pPr>
        <w:jc w:val="both"/>
        <w:rPr>
          <w:rFonts w:ascii="Malgun Gothic" w:eastAsia="Malgun Gothic" w:hAnsi="Malgun Gothic"/>
        </w:rPr>
      </w:pPr>
      <w:r>
        <w:rPr>
          <w:rFonts w:ascii="Malgun Gothic" w:eastAsia="Malgun Gothic" w:hAnsi="Malgun Gothic"/>
        </w:rPr>
        <w:t xml:space="preserve">This obligation requires teachers, doctors and other professionals to report concerns about child welfare to child protection authorities within the Department of Health and Human Services (DHHS). </w:t>
      </w:r>
    </w:p>
    <w:p>
      <w:pPr>
        <w:jc w:val="both"/>
        <w:rPr>
          <w:rFonts w:ascii="Malgun Gothic" w:eastAsia="Malgun Gothic" w:hAnsi="Malgun Gothic"/>
        </w:rPr>
      </w:pPr>
      <w:r>
        <w:rPr>
          <w:rFonts w:ascii="Malgun Gothic" w:eastAsia="Malgun Gothic" w:hAnsi="Malgun Gothic"/>
        </w:rPr>
        <w:t xml:space="preserve">Under the existing mandatory reporting system, DHHS already passes on all allegations of child sexual abuse to police, so it will be a reasonable excuse for not reporting to police if a person has made a report to DHHS or reasonably believes a report has been made to DHHS.  This ensures that people are not required to make multiple reports to different agencies.  </w:t>
      </w:r>
    </w:p>
    <w:p>
      <w:pPr>
        <w:jc w:val="both"/>
        <w:rPr>
          <w:rFonts w:ascii="Malgun Gothic" w:eastAsia="Malgun Gothic" w:hAnsi="Malgun Gothic"/>
        </w:rPr>
      </w:pPr>
      <w:r>
        <w:rPr>
          <w:rFonts w:ascii="Malgun Gothic" w:eastAsia="Malgun Gothic" w:hAnsi="Malgun Gothic"/>
        </w:rPr>
        <w:t xml:space="preserve">A person </w:t>
      </w:r>
      <w:r>
        <w:rPr>
          <w:rFonts w:ascii="Malgun Gothic" w:eastAsia="Malgun Gothic" w:hAnsi="Malgun Gothic"/>
          <w:b/>
        </w:rPr>
        <w:t>does</w:t>
      </w:r>
      <w:r>
        <w:rPr>
          <w:rFonts w:ascii="Malgun Gothic" w:eastAsia="Malgun Gothic" w:hAnsi="Malgun Gothic"/>
        </w:rPr>
        <w:t xml:space="preserve"> </w:t>
      </w:r>
      <w:r>
        <w:rPr>
          <w:rFonts w:ascii="Malgun Gothic" w:eastAsia="Malgun Gothic" w:hAnsi="Malgun Gothic"/>
          <w:b/>
        </w:rPr>
        <w:t>not have a reasonable excuse</w:t>
      </w:r>
      <w:r>
        <w:rPr>
          <w:rFonts w:ascii="Malgun Gothic" w:eastAsia="Malgun Gothic" w:hAnsi="Malgun Gothic"/>
        </w:rPr>
        <w:t xml:space="preserve"> for failing to disclose sexual abuse if they are only concerned for the perceived interests of the perpetrator or any organisation. ‘Perceived interests’ includes reputation, legal liability or financial status.  </w:t>
      </w:r>
    </w:p>
    <w:p>
      <w:pPr>
        <w:jc w:val="both"/>
        <w:rPr>
          <w:rFonts w:ascii="Malgun Gothic" w:eastAsia="Malgun Gothic" w:hAnsi="Malgun Gothic"/>
          <w:b/>
        </w:rPr>
      </w:pPr>
      <w:r>
        <w:rPr>
          <w:rFonts w:ascii="Malgun Gothic" w:eastAsia="Malgun Gothic" w:hAnsi="Malgun Gothic"/>
        </w:rPr>
        <w:t xml:space="preserve"> </w:t>
      </w:r>
      <w:r>
        <w:rPr>
          <w:rFonts w:ascii="Malgun Gothic" w:eastAsia="Malgun Gothic" w:hAnsi="Malgun Gothic"/>
          <w:b/>
        </w:rPr>
        <w:t xml:space="preserve">RESPONSIBILITY </w:t>
      </w:r>
    </w:p>
    <w:p>
      <w:pPr>
        <w:jc w:val="both"/>
        <w:rPr>
          <w:rFonts w:ascii="Malgun Gothic" w:eastAsia="Malgun Gothic" w:hAnsi="Malgun Gothic"/>
        </w:rPr>
      </w:pPr>
      <w:r>
        <w:rPr>
          <w:rFonts w:ascii="Malgun Gothic" w:eastAsia="Malgun Gothic" w:hAnsi="Malgun Gothic"/>
        </w:rPr>
        <w:t xml:space="preserve">The Principal and Deputy Principal – Student Wellbeing – are responsible for the implementation of this Policy. </w:t>
      </w:r>
    </w:p>
    <w:p>
      <w:pPr>
        <w:jc w:val="both"/>
        <w:rPr>
          <w:rFonts w:ascii="Malgun Gothic" w:eastAsia="Malgun Gothic" w:hAnsi="Malgun Gothic"/>
          <w:b/>
        </w:rPr>
      </w:pPr>
      <w:r>
        <w:rPr>
          <w:rFonts w:ascii="Malgun Gothic" w:eastAsia="Malgun Gothic" w:hAnsi="Malgun Gothic"/>
        </w:rPr>
        <w:t xml:space="preserve"> </w:t>
      </w:r>
      <w:r>
        <w:rPr>
          <w:rFonts w:ascii="Malgun Gothic" w:eastAsia="Malgun Gothic" w:hAnsi="Malgun Gothic"/>
          <w:b/>
        </w:rPr>
        <w:t xml:space="preserve">DEFINITIONS </w:t>
      </w:r>
    </w:p>
    <w:p>
      <w:pPr>
        <w:jc w:val="both"/>
        <w:rPr>
          <w:rFonts w:ascii="Malgun Gothic" w:eastAsia="Malgun Gothic" w:hAnsi="Malgun Gothic"/>
          <w:b/>
        </w:rPr>
      </w:pPr>
      <w:r>
        <w:rPr>
          <w:rFonts w:ascii="Malgun Gothic" w:eastAsia="Malgun Gothic" w:hAnsi="Malgun Gothic"/>
          <w:b/>
        </w:rPr>
        <w:t xml:space="preserve">Child and Young Person </w:t>
      </w:r>
    </w:p>
    <w:p>
      <w:pPr>
        <w:jc w:val="both"/>
        <w:rPr>
          <w:rFonts w:ascii="Malgun Gothic" w:eastAsia="Malgun Gothic" w:hAnsi="Malgun Gothic"/>
        </w:rPr>
      </w:pPr>
      <w:r>
        <w:rPr>
          <w:rFonts w:ascii="Malgun Gothic" w:eastAsia="Malgun Gothic" w:hAnsi="Malgun Gothic"/>
        </w:rPr>
        <w:t xml:space="preserve">For the purposes of this offence, a child is a person under the age of 16 years. A young person is any person who comes under or may come under the care, supervision or authority of the School. </w:t>
      </w:r>
    </w:p>
    <w:p>
      <w:pPr>
        <w:jc w:val="both"/>
        <w:rPr>
          <w:rFonts w:ascii="Malgun Gothic" w:eastAsia="Malgun Gothic" w:hAnsi="Malgun Gothic"/>
        </w:rPr>
      </w:pPr>
      <w:r>
        <w:rPr>
          <w:rFonts w:ascii="Malgun Gothic" w:eastAsia="Malgun Gothic" w:hAnsi="Malgun Gothic"/>
          <w:b/>
        </w:rPr>
        <w:t xml:space="preserve"> </w:t>
      </w:r>
    </w:p>
    <w:p>
      <w:pPr>
        <w:jc w:val="both"/>
        <w:rPr>
          <w:rFonts w:ascii="Malgun Gothic" w:eastAsia="Malgun Gothic" w:hAnsi="Malgun Gothic"/>
          <w:b/>
        </w:rPr>
      </w:pPr>
      <w:r>
        <w:rPr>
          <w:rFonts w:ascii="Malgun Gothic" w:eastAsia="Malgun Gothic" w:hAnsi="Malgun Gothic"/>
          <w:b/>
        </w:rPr>
        <w:lastRenderedPageBreak/>
        <w:t xml:space="preserve">Reasonable belief </w:t>
      </w:r>
    </w:p>
    <w:p>
      <w:pPr>
        <w:jc w:val="both"/>
        <w:rPr>
          <w:rFonts w:ascii="Malgun Gothic" w:eastAsia="Malgun Gothic" w:hAnsi="Malgun Gothic"/>
        </w:rPr>
      </w:pPr>
      <w:r>
        <w:rPr>
          <w:rFonts w:ascii="Malgun Gothic" w:eastAsia="Malgun Gothic" w:hAnsi="Malgun Gothic"/>
        </w:rPr>
        <w:t xml:space="preserve">A ‘reasonable belief’ is formed if a reasonable person in the same position would have formed the belief on the same grounds. A ‘reasonable belief’ is not the same as having proof. </w:t>
      </w:r>
    </w:p>
    <w:p>
      <w:pPr>
        <w:jc w:val="both"/>
        <w:rPr>
          <w:rFonts w:ascii="Malgun Gothic" w:eastAsia="Malgun Gothic" w:hAnsi="Malgun Gothic"/>
          <w:b/>
        </w:rPr>
      </w:pPr>
      <w:r>
        <w:rPr>
          <w:rFonts w:ascii="Malgun Gothic" w:eastAsia="Malgun Gothic" w:hAnsi="Malgun Gothic"/>
        </w:rPr>
        <w:t xml:space="preserve"> </w:t>
      </w:r>
      <w:r>
        <w:rPr>
          <w:rFonts w:ascii="Malgun Gothic" w:eastAsia="Malgun Gothic" w:hAnsi="Malgun Gothic"/>
          <w:b/>
        </w:rPr>
        <w:t xml:space="preserve">Sexual abuse </w:t>
      </w:r>
    </w:p>
    <w:p>
      <w:pPr>
        <w:jc w:val="both"/>
        <w:rPr>
          <w:rFonts w:ascii="Malgun Gothic" w:eastAsia="Malgun Gothic" w:hAnsi="Malgun Gothic"/>
        </w:rPr>
      </w:pPr>
      <w:r>
        <w:rPr>
          <w:rFonts w:ascii="Malgun Gothic" w:eastAsia="Malgun Gothic" w:hAnsi="Malgun Gothic"/>
        </w:rPr>
        <w:t xml:space="preserve">Sexual abuse occurs when a person uses power or authority over a child to involve the child in sexual activity and the child's parent or caregiver has not protected the child. Physical force is sometimes involved. Child sexual abuse involves a wide range of sexual activity, including physical activity and/or exposure of the child to pornography. </w:t>
      </w:r>
    </w:p>
    <w:p>
      <w:pPr>
        <w:jc w:val="both"/>
        <w:rPr>
          <w:rFonts w:ascii="Malgun Gothic" w:eastAsia="Malgun Gothic" w:hAnsi="Malgun Gothic"/>
          <w:b/>
        </w:rPr>
      </w:pPr>
      <w:r>
        <w:rPr>
          <w:rFonts w:ascii="Malgun Gothic" w:eastAsia="Malgun Gothic" w:hAnsi="Malgun Gothic"/>
          <w:b/>
        </w:rPr>
        <w:t xml:space="preserve">GUIDING PRINCIPLES </w:t>
      </w:r>
    </w:p>
    <w:p>
      <w:pPr>
        <w:numPr>
          <w:ilvl w:val="0"/>
          <w:numId w:val="3"/>
        </w:numPr>
        <w:jc w:val="both"/>
        <w:rPr>
          <w:rFonts w:ascii="Malgun Gothic" w:eastAsia="Malgun Gothic" w:hAnsi="Malgun Gothic"/>
        </w:rPr>
      </w:pPr>
      <w:r>
        <w:rPr>
          <w:rFonts w:ascii="Malgun Gothic" w:eastAsia="Malgun Gothic" w:hAnsi="Malgun Gothic"/>
        </w:rPr>
        <w:t xml:space="preserve">A safe environment is required to protect children and young people from harm and to prevent staff from abusing their position of authority and trust. </w:t>
      </w:r>
    </w:p>
    <w:p>
      <w:pPr>
        <w:numPr>
          <w:ilvl w:val="0"/>
          <w:numId w:val="3"/>
        </w:numPr>
        <w:jc w:val="both"/>
        <w:rPr>
          <w:rFonts w:ascii="Malgun Gothic" w:eastAsia="Malgun Gothic" w:hAnsi="Malgun Gothic"/>
        </w:rPr>
      </w:pPr>
      <w:r>
        <w:rPr>
          <w:rFonts w:ascii="Malgun Gothic" w:eastAsia="Malgun Gothic" w:hAnsi="Malgun Gothic"/>
        </w:rPr>
        <w:t xml:space="preserve">The child and young person's ongoing safety and wellbeing must be the primary focus of all decision making. </w:t>
      </w:r>
    </w:p>
    <w:p>
      <w:pPr>
        <w:numPr>
          <w:ilvl w:val="0"/>
          <w:numId w:val="3"/>
        </w:numPr>
        <w:jc w:val="both"/>
        <w:rPr>
          <w:rFonts w:ascii="Malgun Gothic" w:eastAsia="Malgun Gothic" w:hAnsi="Malgun Gothic"/>
        </w:rPr>
      </w:pPr>
      <w:r>
        <w:rPr>
          <w:rFonts w:ascii="Malgun Gothic" w:eastAsia="Malgun Gothic" w:hAnsi="Malgun Gothic"/>
        </w:rPr>
        <w:t xml:space="preserve">School leaders and staff must be fully self-aware of, and comply with, their professional obligations and responsibilities. </w:t>
      </w:r>
    </w:p>
    <w:p>
      <w:pPr>
        <w:numPr>
          <w:ilvl w:val="0"/>
          <w:numId w:val="3"/>
        </w:numPr>
        <w:jc w:val="both"/>
        <w:rPr>
          <w:rFonts w:ascii="Malgun Gothic" w:eastAsia="Malgun Gothic" w:hAnsi="Malgun Gothic"/>
        </w:rPr>
      </w:pPr>
      <w:r>
        <w:rPr>
          <w:rFonts w:ascii="Malgun Gothic" w:eastAsia="Malgun Gothic" w:hAnsi="Malgun Gothic"/>
        </w:rPr>
        <w:t xml:space="preserve">The commitment to protecting children is embedded in the organisation’s culture and responsibility for taking action is understood and accepted at all levels of the organisation.  </w:t>
      </w:r>
    </w:p>
    <w:p>
      <w:pPr>
        <w:jc w:val="both"/>
        <w:rPr>
          <w:rFonts w:ascii="Malgun Gothic" w:eastAsia="Malgun Gothic" w:hAnsi="Malgun Gothic"/>
        </w:rPr>
      </w:pPr>
      <w:r>
        <w:rPr>
          <w:rFonts w:ascii="Malgun Gothic" w:eastAsia="Malgun Gothic" w:hAnsi="Malgun Gothic"/>
        </w:rPr>
        <w:t xml:space="preserve"> </w:t>
      </w:r>
    </w:p>
    <w:p>
      <w:pPr>
        <w:jc w:val="both"/>
        <w:rPr>
          <w:rFonts w:ascii="Malgun Gothic" w:eastAsia="Malgun Gothic" w:hAnsi="Malgun Gothic"/>
          <w:b/>
        </w:rPr>
      </w:pPr>
    </w:p>
    <w:p>
      <w:pPr>
        <w:jc w:val="both"/>
        <w:rPr>
          <w:rFonts w:ascii="Malgun Gothic" w:eastAsia="Malgun Gothic" w:hAnsi="Malgun Gothic"/>
          <w:b/>
        </w:rPr>
      </w:pPr>
    </w:p>
    <w:p>
      <w:pPr>
        <w:jc w:val="both"/>
        <w:rPr>
          <w:rFonts w:ascii="Malgun Gothic" w:eastAsia="Malgun Gothic" w:hAnsi="Malgun Gothic"/>
          <w:b/>
        </w:rPr>
      </w:pPr>
      <w:r>
        <w:rPr>
          <w:rFonts w:ascii="Malgun Gothic" w:eastAsia="Malgun Gothic" w:hAnsi="Malgun Gothic"/>
          <w:b/>
        </w:rPr>
        <w:lastRenderedPageBreak/>
        <w:t xml:space="preserve">IMPLEMENTATION </w:t>
      </w:r>
    </w:p>
    <w:p>
      <w:pPr>
        <w:jc w:val="both"/>
        <w:rPr>
          <w:rFonts w:ascii="Malgun Gothic" w:eastAsia="Malgun Gothic" w:hAnsi="Malgun Gothic"/>
        </w:rPr>
      </w:pPr>
      <w:r>
        <w:rPr>
          <w:rFonts w:ascii="Malgun Gothic" w:eastAsia="Malgun Gothic" w:hAnsi="Malgun Gothic"/>
        </w:rPr>
        <w:t xml:space="preserve">This policy applies to the whole School community in supporting safe environments for all children and young people.  </w:t>
      </w:r>
    </w:p>
    <w:p>
      <w:pPr>
        <w:numPr>
          <w:ilvl w:val="0"/>
          <w:numId w:val="4"/>
        </w:numPr>
        <w:jc w:val="both"/>
        <w:rPr>
          <w:rFonts w:ascii="Malgun Gothic" w:eastAsia="Malgun Gothic" w:hAnsi="Malgun Gothic"/>
        </w:rPr>
      </w:pPr>
      <w:r>
        <w:rPr>
          <w:rFonts w:ascii="Malgun Gothic" w:eastAsia="Malgun Gothic" w:hAnsi="Malgun Gothic"/>
        </w:rPr>
        <w:t xml:space="preserve">It applies to all adults in the School community to ensure they understand this responsibility (distinct from that of Mandatory Reporting) in protecting the safety and wellbeing of children and young people under the age of 16 in accordance with the Crimes Act 1958 (Vic).  </w:t>
      </w:r>
    </w:p>
    <w:p>
      <w:pPr>
        <w:numPr>
          <w:ilvl w:val="0"/>
          <w:numId w:val="4"/>
        </w:numPr>
        <w:jc w:val="both"/>
        <w:rPr>
          <w:rFonts w:ascii="Malgun Gothic" w:eastAsia="Malgun Gothic" w:hAnsi="Malgun Gothic"/>
        </w:rPr>
      </w:pPr>
      <w:r>
        <w:rPr>
          <w:rFonts w:ascii="Malgun Gothic" w:eastAsia="Malgun Gothic" w:hAnsi="Malgun Gothic"/>
        </w:rPr>
        <w:t xml:space="preserve">This policy and its requirements will be communicated annually to all staff and the wider School community. </w:t>
      </w:r>
    </w:p>
    <w:p>
      <w:pPr>
        <w:numPr>
          <w:ilvl w:val="0"/>
          <w:numId w:val="4"/>
        </w:numPr>
        <w:jc w:val="both"/>
        <w:rPr>
          <w:rFonts w:ascii="Malgun Gothic" w:eastAsia="Malgun Gothic" w:hAnsi="Malgun Gothic"/>
        </w:rPr>
      </w:pPr>
      <w:r>
        <w:rPr>
          <w:rFonts w:ascii="Malgun Gothic" w:eastAsia="Malgun Gothic" w:hAnsi="Malgun Gothic"/>
        </w:rPr>
        <w:t xml:space="preserve">This policy and its requirements will be communicated to new staff during induction. </w:t>
      </w:r>
    </w:p>
    <w:p>
      <w:pPr>
        <w:numPr>
          <w:ilvl w:val="0"/>
          <w:numId w:val="4"/>
        </w:numPr>
        <w:jc w:val="both"/>
        <w:rPr>
          <w:rFonts w:ascii="Malgun Gothic" w:eastAsia="Malgun Gothic" w:hAnsi="Malgun Gothic"/>
        </w:rPr>
      </w:pPr>
      <w:r>
        <w:rPr>
          <w:rFonts w:ascii="Malgun Gothic" w:eastAsia="Malgun Gothic" w:hAnsi="Malgun Gothic"/>
        </w:rPr>
        <w:t xml:space="preserve">School staff will complete online mandatory reporting, personal safety and the identification of possible sexual abuse. </w:t>
      </w:r>
    </w:p>
    <w:p>
      <w:pPr>
        <w:numPr>
          <w:ilvl w:val="0"/>
          <w:numId w:val="4"/>
        </w:numPr>
        <w:jc w:val="both"/>
        <w:rPr>
          <w:rFonts w:ascii="Malgun Gothic" w:eastAsia="Malgun Gothic" w:hAnsi="Malgun Gothic"/>
        </w:rPr>
      </w:pPr>
      <w:r>
        <w:rPr>
          <w:rFonts w:ascii="Malgun Gothic" w:eastAsia="Malgun Gothic" w:hAnsi="Malgun Gothic"/>
        </w:rPr>
        <w:t xml:space="preserve">Prompt and full responses to any allegations will be undertaken promptly, with well documented records retained securely and confidentially. </w:t>
      </w:r>
    </w:p>
    <w:p>
      <w:pPr>
        <w:jc w:val="both"/>
        <w:rPr>
          <w:rFonts w:ascii="Malgun Gothic" w:eastAsia="Malgun Gothic" w:hAnsi="Malgun Gothic"/>
          <w:b/>
        </w:rPr>
      </w:pPr>
      <w:r>
        <w:rPr>
          <w:rFonts w:ascii="Malgun Gothic" w:eastAsia="Malgun Gothic" w:hAnsi="Malgun Gothic"/>
        </w:rPr>
        <w:t xml:space="preserve"> </w:t>
      </w:r>
      <w:r>
        <w:rPr>
          <w:rFonts w:ascii="Malgun Gothic" w:eastAsia="Malgun Gothic" w:hAnsi="Malgun Gothic"/>
          <w:b/>
        </w:rPr>
        <w:t xml:space="preserve">ASSOCIATED POLICIES AND PROCEDURES </w:t>
      </w:r>
    </w:p>
    <w:p>
      <w:pPr>
        <w:jc w:val="both"/>
        <w:rPr>
          <w:rFonts w:ascii="Malgun Gothic" w:eastAsia="Malgun Gothic" w:hAnsi="Malgun Gothic"/>
        </w:rPr>
      </w:pPr>
      <w:r>
        <w:rPr>
          <w:rFonts w:ascii="Malgun Gothic" w:eastAsia="Malgun Gothic" w:hAnsi="Malgun Gothic"/>
        </w:rPr>
        <w:t xml:space="preserve">This policy should be read in conjunction with the other policies and procedures of Toolamba Primary School Wellbeing: </w:t>
      </w:r>
    </w:p>
    <w:p>
      <w:pPr>
        <w:numPr>
          <w:ilvl w:val="0"/>
          <w:numId w:val="5"/>
        </w:numPr>
        <w:jc w:val="both"/>
        <w:rPr>
          <w:rFonts w:ascii="Malgun Gothic" w:eastAsia="Malgun Gothic" w:hAnsi="Malgun Gothic"/>
        </w:rPr>
      </w:pPr>
      <w:r>
        <w:rPr>
          <w:rFonts w:ascii="Malgun Gothic" w:eastAsia="Malgun Gothic" w:hAnsi="Malgun Gothic"/>
        </w:rPr>
        <w:t xml:space="preserve">Code of Conduct </w:t>
      </w:r>
    </w:p>
    <w:p>
      <w:pPr>
        <w:numPr>
          <w:ilvl w:val="0"/>
          <w:numId w:val="5"/>
        </w:numPr>
        <w:jc w:val="both"/>
        <w:rPr>
          <w:rFonts w:ascii="Malgun Gothic" w:eastAsia="Malgun Gothic" w:hAnsi="Malgun Gothic"/>
        </w:rPr>
      </w:pPr>
      <w:r>
        <w:rPr>
          <w:rFonts w:ascii="Malgun Gothic" w:eastAsia="Malgun Gothic" w:hAnsi="Malgun Gothic"/>
        </w:rPr>
        <w:t xml:space="preserve">Child Safe Policy and Procedure </w:t>
      </w:r>
    </w:p>
    <w:p>
      <w:pPr>
        <w:numPr>
          <w:ilvl w:val="0"/>
          <w:numId w:val="5"/>
        </w:numPr>
        <w:jc w:val="both"/>
        <w:rPr>
          <w:rFonts w:ascii="Malgun Gothic" w:eastAsia="Malgun Gothic" w:hAnsi="Malgun Gothic"/>
        </w:rPr>
      </w:pPr>
      <w:r>
        <w:rPr>
          <w:rFonts w:ascii="Malgun Gothic" w:eastAsia="Malgun Gothic" w:hAnsi="Malgun Gothic"/>
        </w:rPr>
        <w:t xml:space="preserve">Child Safe: Child Protection – Mandatory Reporting  </w:t>
      </w:r>
    </w:p>
    <w:p>
      <w:pPr>
        <w:numPr>
          <w:ilvl w:val="0"/>
          <w:numId w:val="5"/>
        </w:numPr>
        <w:jc w:val="both"/>
        <w:rPr>
          <w:rFonts w:ascii="Malgun Gothic" w:eastAsia="Malgun Gothic" w:hAnsi="Malgun Gothic"/>
        </w:rPr>
      </w:pPr>
      <w:r>
        <w:rPr>
          <w:rFonts w:ascii="Malgun Gothic" w:eastAsia="Malgun Gothic" w:hAnsi="Malgun Gothic"/>
        </w:rPr>
        <w:t xml:space="preserve">Child Safe: Child Protection – Failure to Protect  </w:t>
      </w:r>
    </w:p>
    <w:p>
      <w:pPr>
        <w:numPr>
          <w:ilvl w:val="0"/>
          <w:numId w:val="5"/>
        </w:numPr>
        <w:jc w:val="both"/>
        <w:rPr>
          <w:rFonts w:ascii="Malgun Gothic" w:eastAsia="Malgun Gothic" w:hAnsi="Malgun Gothic"/>
        </w:rPr>
      </w:pPr>
      <w:r>
        <w:rPr>
          <w:rFonts w:ascii="Malgun Gothic" w:eastAsia="Malgun Gothic" w:hAnsi="Malgun Gothic"/>
        </w:rPr>
        <w:lastRenderedPageBreak/>
        <w:t xml:space="preserve">Child Safe: Child Protection – Grooming  </w:t>
      </w:r>
    </w:p>
    <w:p>
      <w:pPr>
        <w:numPr>
          <w:ilvl w:val="0"/>
          <w:numId w:val="5"/>
        </w:numPr>
        <w:jc w:val="both"/>
        <w:rPr>
          <w:rFonts w:ascii="Malgun Gothic" w:eastAsia="Malgun Gothic" w:hAnsi="Malgun Gothic"/>
        </w:rPr>
      </w:pPr>
      <w:r>
        <w:rPr>
          <w:rFonts w:ascii="Malgun Gothic" w:eastAsia="Malgun Gothic" w:hAnsi="Malgun Gothic"/>
        </w:rPr>
        <w:t xml:space="preserve">Child Safe: Child Protection – Working with Children  </w:t>
      </w:r>
    </w:p>
    <w:p>
      <w:pPr>
        <w:jc w:val="both"/>
        <w:rPr>
          <w:rFonts w:ascii="Malgun Gothic" w:eastAsia="Malgun Gothic" w:hAnsi="Malgun Gothic"/>
        </w:rPr>
      </w:pPr>
      <w:r>
        <w:rPr>
          <w:rFonts w:ascii="Malgun Gothic" w:eastAsia="Malgun Gothic" w:hAnsi="Malgun Gothic"/>
        </w:rPr>
        <w:t xml:space="preserve"> </w:t>
      </w:r>
    </w:p>
    <w:p>
      <w:pPr>
        <w:jc w:val="both"/>
        <w:rPr>
          <w:rFonts w:ascii="Malgun Gothic" w:eastAsia="Malgun Gothic" w:hAnsi="Malgun Gothic"/>
          <w:b/>
        </w:rPr>
      </w:pPr>
      <w:r>
        <w:rPr>
          <w:rFonts w:ascii="Malgun Gothic" w:eastAsia="Malgun Gothic" w:hAnsi="Malgun Gothic"/>
          <w:b/>
        </w:rPr>
        <w:t xml:space="preserve">REFERENCES </w:t>
      </w:r>
    </w:p>
    <w:p>
      <w:pPr>
        <w:numPr>
          <w:ilvl w:val="0"/>
          <w:numId w:val="6"/>
        </w:numPr>
        <w:jc w:val="both"/>
        <w:rPr>
          <w:rFonts w:ascii="Malgun Gothic" w:eastAsia="Malgun Gothic" w:hAnsi="Malgun Gothic"/>
        </w:rPr>
      </w:pPr>
      <w:r>
        <w:rPr>
          <w:rFonts w:ascii="Malgun Gothic" w:eastAsia="Malgun Gothic" w:hAnsi="Malgun Gothic"/>
        </w:rPr>
        <w:t xml:space="preserve">Crimes Amendment (Protection of Children) Act 2014, online, </w:t>
      </w:r>
      <w:r>
        <w:rPr>
          <w:rFonts w:ascii="Malgun Gothic" w:eastAsia="Malgun Gothic" w:hAnsi="Malgun Gothic"/>
          <w:u w:val="single"/>
        </w:rPr>
        <w:t>http://www.austlii.edu.au/au/legis/vic/num_act/caoca201436o2014417</w:t>
      </w:r>
      <w:r>
        <w:rPr>
          <w:rFonts w:ascii="Malgun Gothic" w:eastAsia="Malgun Gothic" w:hAnsi="Malgun Gothic"/>
        </w:rPr>
        <w:t xml:space="preserve">  </w:t>
      </w:r>
    </w:p>
    <w:p>
      <w:pPr>
        <w:numPr>
          <w:ilvl w:val="0"/>
          <w:numId w:val="6"/>
        </w:numPr>
        <w:jc w:val="both"/>
        <w:rPr>
          <w:rFonts w:ascii="Malgun Gothic" w:eastAsia="Malgun Gothic" w:hAnsi="Malgun Gothic"/>
        </w:rPr>
      </w:pPr>
      <w:r>
        <w:rPr>
          <w:rFonts w:ascii="Malgun Gothic" w:eastAsia="Malgun Gothic" w:hAnsi="Malgun Gothic"/>
        </w:rPr>
        <w:t xml:space="preserve">Children, Youth and Families Act (Vic) 2005  </w:t>
      </w:r>
    </w:p>
    <w:p>
      <w:pPr>
        <w:numPr>
          <w:ilvl w:val="0"/>
          <w:numId w:val="6"/>
        </w:numPr>
        <w:jc w:val="both"/>
        <w:rPr>
          <w:rFonts w:ascii="Malgun Gothic" w:eastAsia="Malgun Gothic" w:hAnsi="Malgun Gothic"/>
        </w:rPr>
      </w:pPr>
      <w:r>
        <w:rPr>
          <w:rFonts w:ascii="Malgun Gothic" w:eastAsia="Malgun Gothic" w:hAnsi="Malgun Gothic"/>
        </w:rPr>
        <w:t xml:space="preserve">DEECD and DHS 2010, </w:t>
      </w:r>
      <w:r>
        <w:rPr>
          <w:rFonts w:ascii="Malgun Gothic" w:eastAsia="Malgun Gothic" w:hAnsi="Malgun Gothic"/>
          <w:i/>
        </w:rPr>
        <w:t>Protecting the Safety and Wellbeing of Children and Young People, A joint protocol of the Department of Human Services Child Protection,</w:t>
      </w:r>
      <w:r>
        <w:rPr>
          <w:rFonts w:ascii="Malgun Gothic" w:eastAsia="Malgun Gothic" w:hAnsi="Malgun Gothic"/>
        </w:rPr>
        <w:t xml:space="preserve"> Department of Education and Early Childhood Development, Licensed Children’s Services and Victorian Schools.  </w:t>
      </w:r>
    </w:p>
    <w:p>
      <w:pPr>
        <w:numPr>
          <w:ilvl w:val="0"/>
          <w:numId w:val="6"/>
        </w:numPr>
        <w:jc w:val="both"/>
        <w:rPr>
          <w:rFonts w:ascii="Malgun Gothic" w:eastAsia="Malgun Gothic" w:hAnsi="Malgun Gothic"/>
        </w:rPr>
      </w:pPr>
      <w:r>
        <w:rPr>
          <w:rFonts w:ascii="Malgun Gothic" w:eastAsia="Malgun Gothic" w:hAnsi="Malgun Gothic"/>
        </w:rPr>
        <w:t xml:space="preserve">Victorian Parliamentary Inquiry into the Handling of Child Sexual Abuse by Religious and Other </w:t>
      </w:r>
      <w:proofErr w:type="spellStart"/>
      <w:r>
        <w:rPr>
          <w:rFonts w:ascii="Malgun Gothic" w:eastAsia="Malgun Gothic" w:hAnsi="Malgun Gothic"/>
        </w:rPr>
        <w:t>Non Government</w:t>
      </w:r>
      <w:proofErr w:type="spellEnd"/>
      <w:r>
        <w:rPr>
          <w:rFonts w:ascii="Malgun Gothic" w:eastAsia="Malgun Gothic" w:hAnsi="Malgun Gothic"/>
        </w:rPr>
        <w:t xml:space="preserve"> Organisations, Final Report, </w:t>
      </w:r>
      <w:r>
        <w:rPr>
          <w:rFonts w:ascii="Malgun Gothic" w:eastAsia="Malgun Gothic" w:hAnsi="Malgun Gothic"/>
          <w:i/>
        </w:rPr>
        <w:t>Betrayal of Trust</w:t>
      </w:r>
      <w:r>
        <w:rPr>
          <w:rFonts w:ascii="Malgun Gothic" w:eastAsia="Malgun Gothic" w:hAnsi="Malgun Gothic"/>
        </w:rPr>
        <w:t xml:space="preserve">, November 2013. </w:t>
      </w:r>
    </w:p>
    <w:p>
      <w:pPr>
        <w:jc w:val="both"/>
        <w:rPr>
          <w:rFonts w:ascii="Malgun Gothic" w:eastAsia="Malgun Gothic" w:hAnsi="Malgun Gothic"/>
        </w:rPr>
      </w:pPr>
    </w:p>
    <w:p>
      <w:pPr>
        <w:jc w:val="both"/>
        <w:rPr>
          <w:rFonts w:ascii="Malgun Gothic" w:eastAsia="Malgun Gothic" w:hAnsi="Malgun Gothic"/>
        </w:rPr>
      </w:pPr>
      <w:r>
        <w:rPr>
          <w:rFonts w:ascii="Malgun Gothic" w:eastAsia="Malgun Gothic" w:hAnsi="Malgun Gothic"/>
        </w:rPr>
        <w:t xml:space="preserve"> </w:t>
      </w:r>
    </w:p>
    <w:p>
      <w:pPr>
        <w:pBdr>
          <w:top w:val="single" w:sz="6" w:space="1" w:color="B8CCE4" w:themeColor="accent1" w:themeTint="66"/>
          <w:left w:val="single" w:sz="6" w:space="4" w:color="B8CCE4" w:themeColor="accent1" w:themeTint="66"/>
          <w:bottom w:val="single" w:sz="6" w:space="1" w:color="B8CCE4" w:themeColor="accent1" w:themeTint="66"/>
          <w:right w:val="single" w:sz="6" w:space="4" w:color="B8CCE4" w:themeColor="accent1" w:themeTint="66"/>
        </w:pBdr>
        <w:shd w:val="clear" w:color="auto" w:fill="DBE5F1" w:themeFill="accent1" w:themeFillTint="33"/>
        <w:jc w:val="both"/>
        <w:rPr>
          <w:rFonts w:ascii="Malgun Gothic" w:eastAsia="Malgun Gothic" w:hAnsi="Malgun Gothic" w:cs="Arial Unicode MS"/>
          <w:sz w:val="24"/>
          <w:szCs w:val="24"/>
        </w:rPr>
      </w:pPr>
      <w:r>
        <w:rPr>
          <w:rFonts w:ascii="Malgun Gothic" w:eastAsia="Malgun Gothic" w:hAnsi="Malgun Gothic" w:cs="Arial Unicode MS"/>
          <w:sz w:val="24"/>
          <w:szCs w:val="24"/>
        </w:rPr>
        <w:t>This policy was last</w:t>
      </w:r>
      <w:r>
        <w:rPr>
          <w:rFonts w:ascii="Malgun Gothic" w:eastAsia="Malgun Gothic" w:hAnsi="Malgun Gothic" w:cs="Arial Unicode MS"/>
          <w:sz w:val="24"/>
          <w:szCs w:val="24"/>
        </w:rPr>
        <w:t xml:space="preserve"> ratified by School Council in </w:t>
      </w:r>
      <w:r>
        <w:rPr>
          <w:rFonts w:ascii="Malgun Gothic" w:eastAsia="Malgun Gothic" w:hAnsi="Malgun Gothic" w:cs="Arial Unicode MS"/>
          <w:sz w:val="24"/>
          <w:szCs w:val="24"/>
        </w:rPr>
        <w:t xml:space="preserve">September 2016  </w:t>
      </w:r>
    </w:p>
    <w:p>
      <w:pPr>
        <w:autoSpaceDE w:val="0"/>
        <w:autoSpaceDN w:val="0"/>
        <w:adjustRightInd w:val="0"/>
        <w:spacing w:after="0" w:line="240" w:lineRule="auto"/>
        <w:rPr>
          <w:rFonts w:ascii="Malgun Gothic" w:eastAsia="Malgun Gothic" w:hAnsi="Malgun Gothic" w:cs="Arial-BoldMT"/>
          <w:b/>
          <w:bCs/>
          <w:lang w:eastAsia="en-AU"/>
        </w:rPr>
      </w:pPr>
      <w:r>
        <w:rPr>
          <w:rFonts w:ascii="Malgun Gothic" w:eastAsia="Malgun Gothic" w:hAnsi="Malgun Gothic" w:cs="Arial-BoldMT"/>
          <w:b/>
          <w:bCs/>
          <w:lang w:eastAsia="en-AU"/>
        </w:rPr>
        <w:t>REVIEW TIMELINE</w:t>
      </w:r>
    </w:p>
    <w:p>
      <w:pPr>
        <w:autoSpaceDE w:val="0"/>
        <w:autoSpaceDN w:val="0"/>
        <w:adjustRightInd w:val="0"/>
        <w:spacing w:after="0" w:line="240" w:lineRule="auto"/>
        <w:rPr>
          <w:rFonts w:ascii="Malgun Gothic" w:eastAsia="Malgun Gothic" w:hAnsi="Malgun Gothic" w:cs="Arial-BoldMT"/>
          <w:b/>
          <w:bCs/>
          <w:sz w:val="24"/>
          <w:szCs w:val="24"/>
          <w:lang w:eastAsia="en-AU"/>
        </w:rPr>
      </w:pPr>
      <w:bookmarkStart w:id="0" w:name="_GoBack"/>
      <w:bookmarkEnd w:id="0"/>
    </w:p>
    <w:p>
      <w:pPr>
        <w:jc w:val="both"/>
        <w:rPr>
          <w:rFonts w:ascii="Malgun Gothic" w:eastAsia="Malgun Gothic" w:hAnsi="Malgun Gothic"/>
          <w:sz w:val="24"/>
          <w:szCs w:val="24"/>
        </w:rPr>
      </w:pPr>
      <w:r>
        <w:rPr>
          <w:rFonts w:ascii="Malgun Gothic" w:eastAsia="Malgun Gothic" w:hAnsi="Malgun Gothic" w:cs="ArialMT"/>
          <w:sz w:val="24"/>
          <w:szCs w:val="24"/>
          <w:lang w:eastAsia="en-AU"/>
        </w:rPr>
        <w:t>This policy is to be reviewed at least every three years.</w:t>
      </w:r>
      <w:r>
        <w:rPr>
          <w:rFonts w:ascii="Malgun Gothic" w:eastAsia="Malgun Gothic" w:hAnsi="Malgun Gothic" w:cs="Arial Unicode MS"/>
          <w:sz w:val="24"/>
          <w:szCs w:val="24"/>
        </w:rPr>
        <w:t xml:space="preserve">                                   </w:t>
      </w:r>
    </w:p>
    <w:sectPr>
      <w:headerReference w:type="default" r:id="rId8"/>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1752600</wp:posOffset>
              </wp:positionH>
              <wp:positionV relativeFrom="page">
                <wp:posOffset>266699</wp:posOffset>
              </wp:positionV>
              <wp:extent cx="5695950" cy="7867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95950" cy="7867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jc w:val="center"/>
                            <w:rPr>
                              <w:rFonts w:ascii="Arial Unicode MS" w:eastAsia="Arial Unicode MS" w:hAnsi="Arial Unicode MS" w:cs="Arial Unicode MS"/>
                              <w:b/>
                              <w:bCs/>
                              <w:sz w:val="40"/>
                              <w:szCs w:val="40"/>
                            </w:rPr>
                          </w:pPr>
                          <w:r>
                            <w:rPr>
                              <w:rFonts w:ascii="Arial Unicode MS" w:eastAsia="Arial Unicode MS" w:hAnsi="Arial Unicode MS" w:cs="Arial Unicode MS"/>
                              <w:b/>
                              <w:bCs/>
                              <w:sz w:val="40"/>
                              <w:szCs w:val="40"/>
                            </w:rPr>
                            <w:t xml:space="preserve">CHILD PROTECTION: </w:t>
                          </w:r>
                        </w:p>
                        <w:p>
                          <w:pPr>
                            <w:pStyle w:val="Address1"/>
                            <w:jc w:val="center"/>
                            <w:rPr>
                              <w:sz w:val="40"/>
                              <w:szCs w:val="40"/>
                            </w:rPr>
                          </w:pPr>
                          <w:r>
                            <w:rPr>
                              <w:rFonts w:ascii="Arial Unicode MS" w:eastAsia="Arial Unicode MS" w:hAnsi="Arial Unicode MS" w:cs="Arial Unicode MS"/>
                              <w:b/>
                              <w:bCs/>
                              <w:spacing w:val="0"/>
                              <w:kern w:val="0"/>
                              <w:sz w:val="32"/>
                              <w:szCs w:val="32"/>
                              <w:lang w:val="en-AU"/>
                            </w:rPr>
                            <w:tab/>
                          </w:r>
                          <w:r>
                            <w:rPr>
                              <w:rFonts w:ascii="Arial Unicode MS" w:eastAsia="Arial Unicode MS" w:hAnsi="Arial Unicode MS" w:cs="Arial Unicode MS"/>
                              <w:b/>
                              <w:bCs/>
                              <w:spacing w:val="0"/>
                              <w:kern w:val="0"/>
                              <w:sz w:val="40"/>
                              <w:szCs w:val="40"/>
                              <w:lang w:val="en-AU"/>
                            </w:rPr>
                            <w:t xml:space="preserve">Failure to </w:t>
                          </w:r>
                          <w:proofErr w:type="gramStart"/>
                          <w:r>
                            <w:rPr>
                              <w:rFonts w:ascii="Arial Unicode MS" w:eastAsia="Arial Unicode MS" w:hAnsi="Arial Unicode MS" w:cs="Arial Unicode MS"/>
                              <w:b/>
                              <w:bCs/>
                              <w:spacing w:val="0"/>
                              <w:kern w:val="0"/>
                              <w:sz w:val="40"/>
                              <w:szCs w:val="40"/>
                              <w:lang w:val="en-AU"/>
                            </w:rPr>
                            <w:t>Disclose  Policy</w:t>
                          </w:r>
                          <w:proofErr w:type="gramEnd"/>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21pt;width:448.5pt;height:61.9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" stroked="f" strokeweight="0" insetpen="t">
              <v:shadow color="#ccc"/>
              <o:lock v:ext="edit" shapetype="t"/>
              <v:textbox inset="2.85pt,0,2.85pt,0">
                <w:txbxContent>
                  <w:p>
                    <w:pPr>
                      <w:pStyle w:val="Address1"/>
                      <w:jc w:val="center"/>
                      <w:rPr>
                        <w:rFonts w:ascii="Arial Unicode MS" w:eastAsia="Arial Unicode MS" w:hAnsi="Arial Unicode MS" w:cs="Arial Unicode MS"/>
                        <w:b/>
                        <w:bCs/>
                        <w:sz w:val="40"/>
                        <w:szCs w:val="40"/>
                      </w:rPr>
                    </w:pPr>
                    <w:r>
                      <w:rPr>
                        <w:rFonts w:ascii="Arial Unicode MS" w:eastAsia="Arial Unicode MS" w:hAnsi="Arial Unicode MS" w:cs="Arial Unicode MS"/>
                        <w:b/>
                        <w:bCs/>
                        <w:sz w:val="40"/>
                        <w:szCs w:val="40"/>
                      </w:rPr>
                      <w:t xml:space="preserve">CHILD PROTECTION: </w:t>
                    </w:r>
                  </w:p>
                  <w:p>
                    <w:pPr>
                      <w:pStyle w:val="Address1"/>
                      <w:jc w:val="center"/>
                      <w:rPr>
                        <w:sz w:val="40"/>
                        <w:szCs w:val="40"/>
                      </w:rPr>
                    </w:pPr>
                    <w:r>
                      <w:rPr>
                        <w:rFonts w:ascii="Arial Unicode MS" w:eastAsia="Arial Unicode MS" w:hAnsi="Arial Unicode MS" w:cs="Arial Unicode MS"/>
                        <w:b/>
                        <w:bCs/>
                        <w:spacing w:val="0"/>
                        <w:kern w:val="0"/>
                        <w:sz w:val="32"/>
                        <w:szCs w:val="32"/>
                        <w:lang w:val="en-AU"/>
                      </w:rPr>
                      <w:tab/>
                    </w:r>
                    <w:r>
                      <w:rPr>
                        <w:rFonts w:ascii="Arial Unicode MS" w:eastAsia="Arial Unicode MS" w:hAnsi="Arial Unicode MS" w:cs="Arial Unicode MS"/>
                        <w:b/>
                        <w:bCs/>
                        <w:spacing w:val="0"/>
                        <w:kern w:val="0"/>
                        <w:sz w:val="40"/>
                        <w:szCs w:val="40"/>
                        <w:lang w:val="en-AU"/>
                      </w:rPr>
                      <w:t xml:space="preserve">Failure to </w:t>
                    </w:r>
                    <w:proofErr w:type="gramStart"/>
                    <w:r>
                      <w:rPr>
                        <w:rFonts w:ascii="Arial Unicode MS" w:eastAsia="Arial Unicode MS" w:hAnsi="Arial Unicode MS" w:cs="Arial Unicode MS"/>
                        <w:b/>
                        <w:bCs/>
                        <w:spacing w:val="0"/>
                        <w:kern w:val="0"/>
                        <w:sz w:val="40"/>
                        <w:szCs w:val="40"/>
                        <w:lang w:val="en-AU"/>
                      </w:rPr>
                      <w:t>Disclose  Policy</w:t>
                    </w:r>
                    <w:proofErr w:type="gramEnd"/>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290"/>
    <w:multiLevelType w:val="hybridMultilevel"/>
    <w:tmpl w:val="D8549850"/>
    <w:lvl w:ilvl="0" w:tplc="B0AEB86E">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087C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7ED64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2A93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ACC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10D4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FC80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30A2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E2D2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18430D"/>
    <w:multiLevelType w:val="hybridMultilevel"/>
    <w:tmpl w:val="1F766CC8"/>
    <w:lvl w:ilvl="0" w:tplc="CE0C46BC">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0C80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00DA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80BE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F496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C298A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0870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D69D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F272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FF18E1"/>
    <w:multiLevelType w:val="hybridMultilevel"/>
    <w:tmpl w:val="3FA63E7E"/>
    <w:lvl w:ilvl="0" w:tplc="F9D86EA0">
      <w:start w:val="1"/>
      <w:numFmt w:val="bullet"/>
      <w:lvlText w:val="•"/>
      <w:lvlJc w:val="left"/>
      <w:pPr>
        <w:ind w:left="1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C6FD48">
      <w:start w:val="1"/>
      <w:numFmt w:val="bullet"/>
      <w:lvlText w:val="o"/>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1073C4">
      <w:start w:val="1"/>
      <w:numFmt w:val="bullet"/>
      <w:lvlText w:val="▪"/>
      <w:lvlJc w:val="left"/>
      <w:pPr>
        <w:ind w:left="2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7ECA64">
      <w:start w:val="1"/>
      <w:numFmt w:val="bullet"/>
      <w:lvlText w:val="•"/>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64F576">
      <w:start w:val="1"/>
      <w:numFmt w:val="bullet"/>
      <w:lvlText w:val="o"/>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F28846">
      <w:start w:val="1"/>
      <w:numFmt w:val="bullet"/>
      <w:lvlText w:val="▪"/>
      <w:lvlJc w:val="left"/>
      <w:pPr>
        <w:ind w:left="5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8EEEC8">
      <w:start w:val="1"/>
      <w:numFmt w:val="bullet"/>
      <w:lvlText w:val="•"/>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62A6C0">
      <w:start w:val="1"/>
      <w:numFmt w:val="bullet"/>
      <w:lvlText w:val="o"/>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F28FEC">
      <w:start w:val="1"/>
      <w:numFmt w:val="bullet"/>
      <w:lvlText w:val="▪"/>
      <w:lvlJc w:val="left"/>
      <w:pPr>
        <w:ind w:left="7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E21C50"/>
    <w:multiLevelType w:val="hybridMultilevel"/>
    <w:tmpl w:val="B2ECB6D2"/>
    <w:lvl w:ilvl="0" w:tplc="1F00952E">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B22D94">
      <w:start w:val="1"/>
      <w:numFmt w:val="bullet"/>
      <w:lvlText w:val="o"/>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AE24D4">
      <w:start w:val="1"/>
      <w:numFmt w:val="bullet"/>
      <w:lvlText w:val="▪"/>
      <w:lvlJc w:val="left"/>
      <w:pPr>
        <w:ind w:left="2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2ADB40">
      <w:start w:val="1"/>
      <w:numFmt w:val="bullet"/>
      <w:lvlText w:val="•"/>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70359E">
      <w:start w:val="1"/>
      <w:numFmt w:val="bullet"/>
      <w:lvlText w:val="o"/>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2419A4">
      <w:start w:val="1"/>
      <w:numFmt w:val="bullet"/>
      <w:lvlText w:val="▪"/>
      <w:lvlJc w:val="left"/>
      <w:pPr>
        <w:ind w:left="5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760C80">
      <w:start w:val="1"/>
      <w:numFmt w:val="bullet"/>
      <w:lvlText w:val="•"/>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28B2BE">
      <w:start w:val="1"/>
      <w:numFmt w:val="bullet"/>
      <w:lvlText w:val="o"/>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383068">
      <w:start w:val="1"/>
      <w:numFmt w:val="bullet"/>
      <w:lvlText w:val="▪"/>
      <w:lvlJc w:val="left"/>
      <w:pPr>
        <w:ind w:left="7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0C5F55"/>
    <w:multiLevelType w:val="hybridMultilevel"/>
    <w:tmpl w:val="1DB86BDE"/>
    <w:lvl w:ilvl="0" w:tplc="A8381526">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E4747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5A3770">
      <w:start w:val="1"/>
      <w:numFmt w:val="bullet"/>
      <w:lvlText w:val="▪"/>
      <w:lvlJc w:val="left"/>
      <w:pPr>
        <w:ind w:left="2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90F346">
      <w:start w:val="1"/>
      <w:numFmt w:val="bullet"/>
      <w:lvlText w:val="•"/>
      <w:lvlJc w:val="left"/>
      <w:pPr>
        <w:ind w:left="2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82E9BE">
      <w:start w:val="1"/>
      <w:numFmt w:val="bullet"/>
      <w:lvlText w:val="o"/>
      <w:lvlJc w:val="left"/>
      <w:pPr>
        <w:ind w:left="36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387CFE">
      <w:start w:val="1"/>
      <w:numFmt w:val="bullet"/>
      <w:lvlText w:val="▪"/>
      <w:lvlJc w:val="left"/>
      <w:pPr>
        <w:ind w:left="4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B87CC4">
      <w:start w:val="1"/>
      <w:numFmt w:val="bullet"/>
      <w:lvlText w:val="•"/>
      <w:lvlJc w:val="left"/>
      <w:pPr>
        <w:ind w:left="50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86C154">
      <w:start w:val="1"/>
      <w:numFmt w:val="bullet"/>
      <w:lvlText w:val="o"/>
      <w:lvlJc w:val="left"/>
      <w:pPr>
        <w:ind w:left="57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281086">
      <w:start w:val="1"/>
      <w:numFmt w:val="bullet"/>
      <w:lvlText w:val="▪"/>
      <w:lvlJc w:val="left"/>
      <w:pPr>
        <w:ind w:left="6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C96E89"/>
    <w:multiLevelType w:val="singleLevel"/>
    <w:tmpl w:val="0C09000F"/>
    <w:lvl w:ilvl="0">
      <w:start w:val="1"/>
      <w:numFmt w:val="decimal"/>
      <w:lvlText w:val="%1."/>
      <w:lvlJc w:val="left"/>
      <w:pPr>
        <w:tabs>
          <w:tab w:val="num" w:pos="360"/>
        </w:tabs>
        <w:ind w:left="360" w:hanging="36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1EB5C0D8-AB21-4B41-96D1-DBBD6CF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9207-7A68-4C62-8DCE-37533332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5</Pages>
  <Words>967</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2015-09-11T00:49:00Z</cp:lastPrinted>
  <dcterms:created xsi:type="dcterms:W3CDTF">2017-09-04T02:47:00Z</dcterms:created>
  <dcterms:modified xsi:type="dcterms:W3CDTF">2017-09-04T02:47:00Z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