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720"/>
        <w:rPr>
          <w:rFonts w:ascii="Malgun Gothic" w:eastAsia="Malgun Gothic" w:hAnsi="Malgun Gothic" w:cs="Arial"/>
          <w:sz w:val="24"/>
          <w:szCs w:val="24"/>
        </w:rPr>
      </w:pPr>
      <w:bookmarkStart w:id="0" w:name="_GoBack"/>
      <w:bookmarkEnd w:id="0"/>
      <w:r>
        <w:rPr>
          <w:rFonts w:ascii="Malgun Gothic" w:eastAsia="Malgun Gothic" w:hAnsi="Malgun Gothic" w:cs="Arial"/>
          <w:b/>
          <w:bCs/>
          <w:sz w:val="24"/>
          <w:szCs w:val="24"/>
          <w:u w:val="single"/>
        </w:rPr>
        <w:t>Rationale:</w:t>
      </w:r>
    </w:p>
    <w:p>
      <w:pPr>
        <w:ind w:left="720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 xml:space="preserve">Homework benefits students by complementing classroom learning, fostering positive lifelong learning and study habits, and providing opportunities for students to be responsible for their own learning. </w:t>
      </w:r>
    </w:p>
    <w:p>
      <w:pPr>
        <w:ind w:left="720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4"/>
          <w:szCs w:val="24"/>
          <w:u w:val="single"/>
        </w:rPr>
        <w:t>Aims:</w:t>
      </w:r>
    </w:p>
    <w:p>
      <w:pPr>
        <w:numPr>
          <w:ilvl w:val="0"/>
          <w:numId w:val="3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To support and develop concepts learnt in class.</w:t>
      </w:r>
    </w:p>
    <w:p>
      <w:pPr>
        <w:numPr>
          <w:ilvl w:val="0"/>
          <w:numId w:val="3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To develop positive study habits.</w:t>
      </w:r>
    </w:p>
    <w:p>
      <w:pPr>
        <w:numPr>
          <w:ilvl w:val="0"/>
          <w:numId w:val="3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To develop a responsibility for self-learning.</w:t>
      </w:r>
    </w:p>
    <w:p>
      <w:pPr>
        <w:numPr>
          <w:ilvl w:val="0"/>
          <w:numId w:val="3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To increase the communication between parents and the school and encourage parent awareness of student learning.</w:t>
      </w:r>
    </w:p>
    <w:p>
      <w:pPr>
        <w:ind w:left="720"/>
        <w:rPr>
          <w:rFonts w:ascii="Malgun Gothic" w:eastAsia="Malgun Gothic" w:hAnsi="Malgun Gothic" w:cs="Arial"/>
          <w:b/>
          <w:bCs/>
          <w:sz w:val="24"/>
          <w:szCs w:val="24"/>
          <w:u w:val="single"/>
        </w:rPr>
      </w:pPr>
    </w:p>
    <w:p>
      <w:pPr>
        <w:ind w:left="720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b/>
          <w:bCs/>
          <w:sz w:val="24"/>
          <w:szCs w:val="24"/>
          <w:u w:val="single"/>
        </w:rPr>
        <w:t>Implementation: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Copy of the homework policy to be included in the information booklet.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Homework is to consist of ability matched reading, spelling and numeracy activities to be completed each week night.</w:t>
      </w:r>
    </w:p>
    <w:p>
      <w:pPr>
        <w:pStyle w:val="ListParagraph"/>
        <w:numPr>
          <w:ilvl w:val="0"/>
          <w:numId w:val="5"/>
        </w:numP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Students receive feedback on homework.</w:t>
      </w:r>
    </w:p>
    <w:p>
      <w:pPr>
        <w:pStyle w:val="BodyTextIndent"/>
        <w:tabs>
          <w:tab w:val="clear" w:pos="-540"/>
        </w:tabs>
        <w:ind w:left="360"/>
        <w:rPr>
          <w:rFonts w:ascii="Malgun Gothic" w:eastAsia="Malgun Gothic" w:hAnsi="Malgun Gothic" w:cs="Arial"/>
          <w:sz w:val="24"/>
        </w:rPr>
      </w:pPr>
    </w:p>
    <w:p>
      <w:pPr>
        <w:pStyle w:val="BodyTextIndent"/>
        <w:tabs>
          <w:tab w:val="clear" w:pos="-540"/>
        </w:tabs>
        <w:ind w:left="360"/>
        <w:rPr>
          <w:rFonts w:ascii="Malgun Gothic" w:eastAsia="Malgun Gothic" w:hAnsi="Malgun Gothic" w:cs="Arial"/>
          <w:sz w:val="24"/>
        </w:rPr>
      </w:pPr>
    </w:p>
    <w:p>
      <w:pPr>
        <w:pStyle w:val="BodyTextIndent"/>
        <w:tabs>
          <w:tab w:val="clear" w:pos="-540"/>
        </w:tabs>
        <w:ind w:left="720"/>
        <w:rPr>
          <w:rFonts w:ascii="Malgun Gothic" w:eastAsia="Malgun Gothic" w:hAnsi="Malgun Gothic" w:cs="Arial"/>
          <w:b/>
          <w:sz w:val="24"/>
          <w:u w:val="single"/>
        </w:rPr>
      </w:pPr>
      <w:r>
        <w:rPr>
          <w:rFonts w:ascii="Malgun Gothic" w:eastAsia="Malgun Gothic" w:hAnsi="Malgun Gothic" w:cs="Arial"/>
          <w:b/>
          <w:sz w:val="24"/>
          <w:u w:val="single"/>
        </w:rPr>
        <w:t>Teacher Responsibilities:</w:t>
      </w:r>
    </w:p>
    <w:p>
      <w:pPr>
        <w:pStyle w:val="BodyTextIndent"/>
        <w:tabs>
          <w:tab w:val="clear" w:pos="-540"/>
        </w:tabs>
        <w:ind w:left="720"/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Teachers are to ensure that: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The objective of the lesson and the resultant homework are fully understood.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The direction, extent and options in homework are clear.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Resources are made available.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An unfair burden of homework for a subject is not placed on a pupil.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lastRenderedPageBreak/>
        <w:t>Homework is collected promptly, checked and evaluated.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Parents are informed of their responsibilities.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Communicate with parents if students are having difficulty regarding getting homework in on time.</w:t>
      </w:r>
    </w:p>
    <w:p>
      <w:pPr>
        <w:pStyle w:val="BodyTextIndent"/>
        <w:tabs>
          <w:tab w:val="clear" w:pos="-540"/>
        </w:tabs>
        <w:ind w:left="720"/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b/>
          <w:sz w:val="24"/>
          <w:u w:val="single"/>
        </w:rPr>
        <w:t>Parent Responsibilities: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Sign homework. This may consist of signing a diary on a daily basis.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Set a routine for homework.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Support the students by making an effort to provide a suitable environment for homework. One which is quiet and free of diversions.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Observe closely how well the pupil does his/her homework and send a note or phone the teacher whenever the pupil is observed to be having difficulty with a particular activity.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Provide time and encouragement; treat homework in a positive manner.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 xml:space="preserve">Coordinate homework efforts with teachers in specialist cases. 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Guide or assist in homework when unusual difficulties arise, this is not to be interpreted as completing the task for the child.</w:t>
      </w:r>
    </w:p>
    <w:p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Provide educational experiences that broaden the child’s interest.</w:t>
      </w:r>
    </w:p>
    <w:p>
      <w:pPr>
        <w:pStyle w:val="BodyTextIndent"/>
        <w:tabs>
          <w:tab w:val="clear" w:pos="-540"/>
        </w:tabs>
        <w:ind w:left="720"/>
        <w:rPr>
          <w:rFonts w:ascii="Malgun Gothic" w:eastAsia="Malgun Gothic" w:hAnsi="Malgun Gothic" w:cs="Arial"/>
          <w:sz w:val="24"/>
        </w:rPr>
      </w:pPr>
    </w:p>
    <w:p>
      <w:pPr>
        <w:pStyle w:val="BodyTextIndent"/>
        <w:tabs>
          <w:tab w:val="clear" w:pos="-540"/>
        </w:tabs>
        <w:ind w:left="720"/>
        <w:rPr>
          <w:rFonts w:ascii="Malgun Gothic" w:eastAsia="Malgun Gothic" w:hAnsi="Malgun Gothic" w:cs="Arial"/>
          <w:b/>
          <w:sz w:val="24"/>
          <w:u w:val="single"/>
        </w:rPr>
      </w:pPr>
      <w:r>
        <w:rPr>
          <w:rFonts w:ascii="Malgun Gothic" w:eastAsia="Malgun Gothic" w:hAnsi="Malgun Gothic" w:cs="Arial"/>
          <w:b/>
          <w:sz w:val="24"/>
          <w:u w:val="single"/>
        </w:rPr>
        <w:t>Student Responsibilities:</w:t>
      </w:r>
    </w:p>
    <w:p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Make sure they have the necessary material and equipment needed for homework.</w:t>
      </w:r>
    </w:p>
    <w:p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Be sure all assignments are clear; don’t be afraid to ask questions if necessary.</w:t>
      </w:r>
    </w:p>
    <w:p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Set aside a regular time for studying.</w:t>
      </w:r>
    </w:p>
    <w:p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Malgun Gothic" w:eastAsia="Malgun Gothic" w:hAnsi="Malgun Gothic" w:cs="Arial"/>
          <w:sz w:val="24"/>
        </w:rPr>
      </w:pPr>
      <w:r>
        <w:rPr>
          <w:rFonts w:ascii="Malgun Gothic" w:eastAsia="Malgun Gothic" w:hAnsi="Malgun Gothic" w:cs="Arial"/>
          <w:sz w:val="24"/>
        </w:rPr>
        <w:t>Complete and hand in homework on time.</w:t>
      </w:r>
    </w:p>
    <w:p>
      <w:pPr>
        <w:rPr>
          <w:rFonts w:ascii="Malgun Gothic" w:eastAsia="Malgun Gothic" w:hAnsi="Malgun Gothic" w:cs="Arial"/>
          <w:sz w:val="24"/>
          <w:szCs w:val="24"/>
        </w:rPr>
      </w:pPr>
    </w:p>
    <w:p>
      <w:pPr>
        <w:ind w:firstLine="720"/>
        <w:rPr>
          <w:rFonts w:ascii="Malgun Gothic" w:eastAsia="Malgun Gothic" w:hAnsi="Malgun Gothic" w:cs="Arial"/>
          <w:b/>
          <w:bCs/>
          <w:sz w:val="24"/>
          <w:szCs w:val="24"/>
          <w:u w:val="single"/>
        </w:rPr>
      </w:pPr>
      <w:r>
        <w:rPr>
          <w:rFonts w:ascii="Malgun Gothic" w:eastAsia="Malgun Gothic" w:hAnsi="Malgun Gothic" w:cs="Arial"/>
          <w:b/>
          <w:bCs/>
          <w:sz w:val="24"/>
          <w:szCs w:val="24"/>
          <w:u w:val="single"/>
        </w:rPr>
        <w:t>Evaluation:</w:t>
      </w:r>
    </w:p>
    <w:p>
      <w:pPr>
        <w:ind w:firstLine="720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lastRenderedPageBreak/>
        <w:t>This policy will be reviewed as part of the school’s three-year review cycle or earlier as required.</w:t>
      </w:r>
    </w:p>
    <w:p>
      <w:pPr>
        <w:rPr>
          <w:rFonts w:ascii="Malgun Gothic" w:eastAsia="Malgun Gothic" w:hAnsi="Malgun Gothic" w:cs="Arial"/>
          <w:sz w:val="24"/>
          <w:szCs w:val="24"/>
        </w:rPr>
      </w:pPr>
    </w:p>
    <w:p>
      <w:pPr>
        <w:tabs>
          <w:tab w:val="left" w:pos="851"/>
        </w:tabs>
        <w:ind w:left="-360"/>
        <w:rPr>
          <w:rFonts w:ascii="Malgun Gothic" w:eastAsia="Malgun Gothic" w:hAnsi="Malgun Gothic" w:cs="Arial"/>
          <w:sz w:val="24"/>
          <w:szCs w:val="24"/>
        </w:rPr>
      </w:pPr>
    </w:p>
    <w:p>
      <w:pPr>
        <w:rPr>
          <w:rFonts w:ascii="Malgun Gothic" w:eastAsia="Malgun Gothic" w:hAnsi="Malgun Gothic" w:cs="Arial Unicode MS"/>
          <w:sz w:val="24"/>
          <w:szCs w:val="24"/>
        </w:rPr>
      </w:pPr>
    </w:p>
    <w:sectPr>
      <w:headerReference w:type="default" r:id="rId8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40"/>
                            </w:rPr>
                            <w:t>HOMEWORK POLICY</w:t>
                          </w:r>
                        </w:p>
                        <w:p>
                          <w:pPr>
                            <w:pStyle w:val="Address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75pt;margin-top:36.7pt;width:367.3pt;height:4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4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sz w:val="40"/>
                      </w:rPr>
                      <w:t>HOMEWORK POLICY</w:t>
                    </w:r>
                  </w:p>
                  <w:p>
                    <w:pPr>
                      <w:pStyle w:val="Address1"/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3.3pt;margin-top:48.15pt;width:224.0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67.3pt;margin-top:44.65pt;width:80.6pt;height:42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9B2"/>
    <w:multiLevelType w:val="hybridMultilevel"/>
    <w:tmpl w:val="CD5A717E"/>
    <w:lvl w:ilvl="0" w:tplc="931C35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37C35"/>
    <w:multiLevelType w:val="hybridMultilevel"/>
    <w:tmpl w:val="87869546"/>
    <w:lvl w:ilvl="0" w:tplc="931C35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94AB9"/>
    <w:multiLevelType w:val="hybridMultilevel"/>
    <w:tmpl w:val="A566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96E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1A303D"/>
    <w:multiLevelType w:val="hybridMultilevel"/>
    <w:tmpl w:val="B87AC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1C35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8D27A8E-6012-4138-A25B-A56C2FD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pPr>
      <w:tabs>
        <w:tab w:val="left" w:pos="-540"/>
      </w:tabs>
      <w:spacing w:after="0" w:line="240" w:lineRule="auto"/>
      <w:ind w:left="-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839C-1CE1-4B63-9A01-9B0DD73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352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2</cp:revision>
  <cp:lastPrinted>2015-09-11T00:49:00Z</cp:lastPrinted>
  <dcterms:created xsi:type="dcterms:W3CDTF">2019-03-06T02:09:00Z</dcterms:created>
  <dcterms:modified xsi:type="dcterms:W3CDTF">2019-03-06T02:09:00Z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