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pacerparatopoffirstpage"/>
      </w:pPr>
      <w:bookmarkStart w:id="0" w:name="_GoBack"/>
      <w:bookmarkEnd w:id="0"/>
      <w:r>
        <w:rPr>
          <w:lang w:eastAsia="en-AU"/>
        </w:rPr>
        <w:drawing>
          <wp:anchor distT="0" distB="0" distL="114300" distR="114300" simplePos="0" relativeHeight="251658240" behindDoc="1" locked="0" layoutInCell="1" allowOverlap="1">
            <wp:simplePos x="0" y="0"/>
            <wp:positionH relativeFrom="page">
              <wp:posOffset>13223</wp:posOffset>
            </wp:positionH>
            <wp:positionV relativeFrom="page">
              <wp:posOffset>0</wp:posOffset>
            </wp:positionV>
            <wp:extent cx="7560000" cy="2069875"/>
            <wp:effectExtent l="0" t="0" r="3175" b="6985"/>
            <wp:wrapNone/>
            <wp:docPr id="3" name="Picture 3" descr="Advancing quality, safety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cs-port-Banner.png"/>
                    <pic:cNvPicPr/>
                  </pic:nvPicPr>
                  <pic:blipFill>
                    <a:blip r:embed="rId8"/>
                    <a:stretch>
                      <a:fillRect/>
                    </a:stretch>
                  </pic:blipFill>
                  <pic:spPr>
                    <a:xfrm>
                      <a:off x="0" y="0"/>
                      <a:ext cx="7560000" cy="2069875"/>
                    </a:xfrm>
                    <a:prstGeom prst="rect">
                      <a:avLst/>
                    </a:prstGeom>
                  </pic:spPr>
                </pic:pic>
              </a:graphicData>
            </a:graphic>
            <wp14:sizeRelH relativeFrom="margin">
              <wp14:pctWidth>0</wp14:pctWidth>
            </wp14:sizeRelH>
            <wp14:sizeRelV relativeFrom="margin">
              <wp14:pctHeight>0</wp14:pctHeight>
            </wp14:sizeRelV>
          </wp:anchor>
        </w:drawing>
      </w:r>
    </w:p>
    <w:p>
      <w:pPr>
        <w:pStyle w:val="Sectionbreakfirstpage"/>
        <w:sectPr>
          <w:footerReference w:type="default" r:id="rId9"/>
          <w:footerReference w:type="first" r:id="rId10"/>
          <w:pgSz w:w="11906" w:h="16838" w:code="9"/>
          <w:pgMar w:top="567" w:right="851" w:bottom="1418" w:left="851" w:header="510" w:footer="510" w:gutter="0"/>
          <w:cols w:space="708"/>
          <w:titlePg/>
          <w:docGrid w:linePitch="360"/>
        </w:sectPr>
      </w:pPr>
    </w:p>
    <w:tbl>
      <w:tblPr>
        <w:tblW w:w="0" w:type="auto"/>
        <w:tblLook w:val="04A0" w:firstRow="1" w:lastRow="0" w:firstColumn="1" w:lastColumn="0" w:noHBand="0" w:noVBand="1"/>
      </w:tblPr>
      <w:tblGrid>
        <w:gridCol w:w="8989"/>
      </w:tblGrid>
      <w:tr>
        <w:trPr>
          <w:trHeight w:val="680"/>
        </w:trPr>
        <w:tc>
          <w:tcPr>
            <w:tcW w:w="8989" w:type="dxa"/>
            <w:shd w:val="clear" w:color="auto" w:fill="auto"/>
            <w:vAlign w:val="bottom"/>
          </w:tcPr>
          <w:p>
            <w:pPr>
              <w:pStyle w:val="DHHSmainsubheading"/>
              <w:rPr>
                <w:sz w:val="50"/>
                <w:szCs w:val="50"/>
              </w:rPr>
            </w:pPr>
          </w:p>
          <w:p>
            <w:pPr>
              <w:pStyle w:val="DHHSmainsubheading"/>
            </w:pPr>
            <w:r>
              <w:rPr>
                <w:sz w:val="50"/>
                <w:szCs w:val="50"/>
              </w:rPr>
              <w:t xml:space="preserve">What to do when an allegation of child abuse is made </w:t>
            </w:r>
          </w:p>
        </w:tc>
      </w:tr>
      <w:tr>
        <w:trPr>
          <w:trHeight w:hRule="exact" w:val="570"/>
        </w:trPr>
        <w:tc>
          <w:tcPr>
            <w:tcW w:w="8989" w:type="dxa"/>
            <w:shd w:val="clear" w:color="auto" w:fill="auto"/>
            <w:tcMar>
              <w:top w:w="170" w:type="dxa"/>
              <w:bottom w:w="510" w:type="dxa"/>
            </w:tcMar>
          </w:tcPr>
          <w:p>
            <w:pPr>
              <w:pStyle w:val="DHHSTOCheadingfactsheet"/>
              <w:rPr>
                <w:b w:val="0"/>
                <w:color w:val="FFFFFF"/>
              </w:rPr>
            </w:pPr>
            <w:r>
              <w:rPr>
                <w:b w:val="0"/>
                <w:color w:val="FFFFFF"/>
              </w:rPr>
              <w:t xml:space="preserve">Child Safe Standards toolkit: </w:t>
            </w:r>
            <w:r>
              <w:rPr>
                <w:b w:val="0"/>
                <w:color w:val="FFFFFF"/>
              </w:rPr>
              <w:t>R</w:t>
            </w:r>
            <w:r>
              <w:rPr>
                <w:b w:val="0"/>
                <w:color w:val="FFFFFF"/>
              </w:rPr>
              <w:t xml:space="preserve">esource </w:t>
            </w:r>
            <w:r>
              <w:rPr>
                <w:b w:val="0"/>
                <w:color w:val="FFFFFF"/>
              </w:rPr>
              <w:t>5</w:t>
            </w:r>
          </w:p>
        </w:tc>
      </w:tr>
    </w:tbl>
    <w:p>
      <w:pPr>
        <w:pStyle w:val="DHHSbody"/>
        <w:rPr>
          <w:rFonts w:cs="Arial"/>
          <w:b/>
          <w:color w:val="53565A"/>
        </w:rPr>
      </w:pPr>
    </w:p>
    <w:p>
      <w:pPr>
        <w:pStyle w:val="DHHSbody"/>
        <w:rPr>
          <w:b/>
          <w:color w:val="53565A"/>
        </w:rPr>
      </w:pPr>
      <w:r>
        <w:rPr>
          <w:rFonts w:cs="Arial"/>
          <w:b/>
          <w:color w:val="53565A"/>
        </w:rPr>
        <w:t xml:space="preserve">The Child Safe Standards require organisations that provide services </w:t>
      </w:r>
      <w:r>
        <w:rPr>
          <w:rFonts w:cs="Arial"/>
          <w:b/>
          <w:color w:val="53565A"/>
        </w:rPr>
        <w:t xml:space="preserve">or facilities </w:t>
      </w:r>
      <w:r>
        <w:rPr>
          <w:rFonts w:cs="Arial"/>
          <w:b/>
          <w:color w:val="53565A"/>
        </w:rPr>
        <w:t>for children to have processes for responding to and reporting suspected child abuse.</w:t>
      </w:r>
      <w:r>
        <w:rPr>
          <w:b/>
          <w:color w:val="53565A"/>
        </w:rPr>
        <w:t xml:space="preserve"> Your organisation may have existing processes. This resource is designed to provide guidance on what to do if a child discloses an incident of abuse, or if a parent/carer raises a concern or allegation of abuse which may have taken place in your organisation.</w:t>
      </w:r>
    </w:p>
    <w:p>
      <w:pPr>
        <w:pStyle w:val="Heading1"/>
      </w:pPr>
      <w:r>
        <w:t xml:space="preserve">Responding to a </w:t>
      </w:r>
      <w:r>
        <w:t>child</w:t>
      </w:r>
    </w:p>
    <w:p>
      <w:pPr>
        <w:pStyle w:val="DHHSbody"/>
      </w:pPr>
      <w:r>
        <w:t>If a child</w:t>
      </w:r>
      <w:r>
        <w:t xml:space="preserve"> discloses an incident of abuse, t</w:t>
      </w:r>
      <w:r>
        <w:t xml:space="preserve">here are </w:t>
      </w:r>
      <w:r>
        <w:t xml:space="preserve">a number of </w:t>
      </w:r>
      <w:r>
        <w:t xml:space="preserve">key actions </w:t>
      </w:r>
      <w:r>
        <w:t xml:space="preserve">that </w:t>
      </w:r>
      <w:r>
        <w:t>you and your organisation should u</w:t>
      </w:r>
      <w:r>
        <w:t>ndertake to effectively respond.</w:t>
      </w:r>
    </w:p>
    <w:p>
      <w:pPr>
        <w:pStyle w:val="Heading2"/>
      </w:pPr>
      <w:r>
        <w:t xml:space="preserve">Action One – Respond to an emergency </w:t>
      </w:r>
    </w:p>
    <w:p>
      <w:pPr>
        <w:pStyle w:val="DHHSbody"/>
      </w:pPr>
      <w:r>
        <w:t>If there is no immediate harm to the child or young person, proceed to Action Two</w:t>
      </w:r>
      <w:r>
        <w:t>.</w:t>
      </w:r>
    </w:p>
    <w:p>
      <w:pPr>
        <w:pStyle w:val="DHHSbody"/>
      </w:pPr>
      <w:r>
        <w:t xml:space="preserve">If a </w:t>
      </w:r>
      <w:r>
        <w:t>child's immediate safety is compromised,</w:t>
      </w:r>
      <w:r>
        <w:t xml:space="preserve"> </w:t>
      </w:r>
      <w:r>
        <w:t xml:space="preserve">a child </w:t>
      </w:r>
      <w:r>
        <w:t>i</w:t>
      </w:r>
      <w:r>
        <w:t>s</w:t>
      </w:r>
      <w:r>
        <w:t xml:space="preserve"> at risk of harm</w:t>
      </w:r>
      <w:r>
        <w:t xml:space="preserve"> or a child is </w:t>
      </w:r>
      <w:r>
        <w:t>involved</w:t>
      </w:r>
      <w:r>
        <w:t xml:space="preserve"> in any risk taking </w:t>
      </w:r>
      <w:r>
        <w:t>activity</w:t>
      </w:r>
      <w:r>
        <w:t xml:space="preserve"> that poses a high risk to the child</w:t>
      </w:r>
      <w:r>
        <w:t>,</w:t>
      </w:r>
      <w:r>
        <w:t xml:space="preserve"> </w:t>
      </w:r>
      <w:r>
        <w:t xml:space="preserve">you must take reasonable steps to protect them. </w:t>
      </w:r>
      <w:r>
        <w:t>This</w:t>
      </w:r>
      <w:r>
        <w:t xml:space="preserve"> </w:t>
      </w:r>
      <w:r>
        <w:t>include</w:t>
      </w:r>
      <w:r>
        <w:t>s</w:t>
      </w:r>
      <w:r>
        <w:t>:</w:t>
      </w:r>
    </w:p>
    <w:p>
      <w:pPr>
        <w:pStyle w:val="DHHSbullet1"/>
      </w:pPr>
      <w:r>
        <w:t>ensuring the child’s immediate health and safety</w:t>
      </w:r>
      <w:r>
        <w:t xml:space="preserve"> is </w:t>
      </w:r>
      <w:r>
        <w:t>supported by an ap</w:t>
      </w:r>
      <w:r>
        <w:t>propriate staff member</w:t>
      </w:r>
    </w:p>
    <w:p>
      <w:pPr>
        <w:pStyle w:val="DHHSbullet2"/>
      </w:pPr>
      <w:r>
        <w:t>i</w:t>
      </w:r>
      <w:r>
        <w:t>f the</w:t>
      </w:r>
      <w:r>
        <w:t xml:space="preserve"> child</w:t>
      </w:r>
      <w:r>
        <w:t xml:space="preserve"> seem</w:t>
      </w:r>
      <w:r>
        <w:t>s</w:t>
      </w:r>
      <w:r>
        <w:t xml:space="preserve"> at ease </w:t>
      </w:r>
      <w:r>
        <w:t>in your company, stay with them</w:t>
      </w:r>
    </w:p>
    <w:p>
      <w:pPr>
        <w:pStyle w:val="DHHSbullet1"/>
      </w:pPr>
      <w:r>
        <w:t xml:space="preserve">ensuring </w:t>
      </w:r>
      <w:r>
        <w:t>t</w:t>
      </w:r>
      <w:r>
        <w:t xml:space="preserve">he alleged offender does not have access to the child </w:t>
      </w:r>
    </w:p>
    <w:p>
      <w:pPr>
        <w:pStyle w:val="DHHSbullet1"/>
      </w:pPr>
      <w:r>
        <w:t>arranging and providing urgent medical assistance where necessary by:</w:t>
      </w:r>
    </w:p>
    <w:p>
      <w:pPr>
        <w:pStyle w:val="DHHSbullet2"/>
      </w:pPr>
      <w:r>
        <w:t>administering first aid assistance</w:t>
      </w:r>
    </w:p>
    <w:p>
      <w:pPr>
        <w:pStyle w:val="DHHSbullet2"/>
      </w:pPr>
      <w:r>
        <w:t>calling 000 for an ambulance and following any instructions from emerg</w:t>
      </w:r>
      <w:r>
        <w:t>ency service officers/paramedics</w:t>
      </w:r>
    </w:p>
    <w:p>
      <w:pPr>
        <w:pStyle w:val="DHHSbullet1"/>
      </w:pPr>
      <w:r>
        <w:t>calling 000 for urgent police assistance if the person who is alleged to have engaged in the abuse poses an immediate risk to the health and safety of any person</w:t>
      </w:r>
    </w:p>
    <w:p>
      <w:pPr>
        <w:pStyle w:val="DHHSbullet2"/>
      </w:pPr>
      <w:r>
        <w:t>y</w:t>
      </w:r>
      <w:r>
        <w:t>ou should also identify a contact person at the organisation for future liaison with police</w:t>
      </w:r>
    </w:p>
    <w:p>
      <w:pPr>
        <w:pStyle w:val="DHHSbullet1"/>
      </w:pPr>
      <w:r>
        <w:t>taking reasonable steps to preserve evidence</w:t>
      </w:r>
      <w:r>
        <w:t>,</w:t>
      </w:r>
      <w:r>
        <w:t xml:space="preserve"> such as the environment, clothing, other items, and potential witnesses until the police or other relevant authorities arrive on the premises.</w:t>
      </w:r>
    </w:p>
    <w:p>
      <w:pPr>
        <w:pStyle w:val="Heading2"/>
      </w:pPr>
      <w:r>
        <w:t>Action Two - Provide support to the child</w:t>
      </w:r>
    </w:p>
    <w:p>
      <w:pPr>
        <w:pStyle w:val="DHHSbody"/>
      </w:pPr>
      <w:r>
        <w:t xml:space="preserve">If a child has </w:t>
      </w:r>
      <w:r>
        <w:t xml:space="preserve">experienced or </w:t>
      </w:r>
      <w:r>
        <w:t>disclosed abuse</w:t>
      </w:r>
      <w:r>
        <w:t xml:space="preserve"> or serious neglect</w:t>
      </w:r>
      <w:r>
        <w:t>, you should:</w:t>
      </w:r>
    </w:p>
    <w:p>
      <w:pPr>
        <w:pStyle w:val="DHHSbullet1"/>
      </w:pPr>
      <w:r>
        <w:t>listen to them carefully and let the child use their own words to explain what has occurred</w:t>
      </w:r>
    </w:p>
    <w:p>
      <w:pPr>
        <w:pStyle w:val="DHHSbullet1"/>
      </w:pPr>
      <w:r>
        <w:t xml:space="preserve">reassure the child that you </w:t>
      </w:r>
      <w:r>
        <w:t xml:space="preserve">are </w:t>
      </w:r>
      <w:r>
        <w:t>tak</w:t>
      </w:r>
      <w:r>
        <w:t>ing</w:t>
      </w:r>
      <w:r>
        <w:t xml:space="preserve"> what they are saying seriously, </w:t>
      </w:r>
      <w:r>
        <w:t xml:space="preserve">that </w:t>
      </w:r>
      <w:r>
        <w:t>it is not their fault and that they are doing the right thing</w:t>
      </w:r>
    </w:p>
    <w:p>
      <w:pPr>
        <w:pStyle w:val="DHHSbullet1"/>
      </w:pPr>
      <w:r>
        <w:t xml:space="preserve">explain to them that this information will need to be shared with others, such as their parent/carer, specific people in your organisation, </w:t>
      </w:r>
      <w:r>
        <w:t>C</w:t>
      </w:r>
      <w:r>
        <w:t xml:space="preserve">hild </w:t>
      </w:r>
      <w:r>
        <w:t>P</w:t>
      </w:r>
      <w:r>
        <w:t>rotection</w:t>
      </w:r>
      <w:r>
        <w:t xml:space="preserve"> </w:t>
      </w:r>
      <w:r>
        <w:t xml:space="preserve">and </w:t>
      </w:r>
      <w:r>
        <w:t>the police</w:t>
      </w:r>
    </w:p>
    <w:p>
      <w:pPr>
        <w:pStyle w:val="DHHSbullet1"/>
      </w:pPr>
      <w:r>
        <w:t>not make promises to the child, such as promising not to tell anyone about the incident, except that you will do your best to keep them safe</w:t>
      </w:r>
    </w:p>
    <w:p>
      <w:pPr>
        <w:pStyle w:val="DHHSbullet1"/>
      </w:pPr>
      <w:r>
        <w:t xml:space="preserve">as appropriate, </w:t>
      </w:r>
      <w:r>
        <w:t xml:space="preserve">complete an incident form </w:t>
      </w:r>
      <w:r>
        <w:t xml:space="preserve">with or </w:t>
      </w:r>
      <w:r>
        <w:t>on behalf of the child or young person</w:t>
      </w:r>
      <w:r>
        <w:t>.</w:t>
      </w:r>
    </w:p>
    <w:p>
      <w:pPr>
        <w:pStyle w:val="Heading2"/>
      </w:pPr>
      <w:r>
        <w:lastRenderedPageBreak/>
        <w:t xml:space="preserve">Action Three </w:t>
      </w:r>
      <w:r>
        <w:t>–</w:t>
      </w:r>
      <w:r>
        <w:t xml:space="preserve"> Report</w:t>
      </w:r>
      <w:r>
        <w:t xml:space="preserve"> </w:t>
      </w:r>
    </w:p>
    <w:p>
      <w:pPr>
        <w:pStyle w:val="DHHSbody"/>
        <w:rPr>
          <w:rFonts w:cs="Arial"/>
          <w:bCs/>
          <w:lang w:eastAsia="en-AU"/>
        </w:rPr>
      </w:pPr>
      <w:r>
        <w:rPr>
          <w:rFonts w:cs="Arial"/>
          <w:bCs/>
          <w:lang w:eastAsia="en-AU"/>
        </w:rPr>
        <w:t xml:space="preserve">As soon as the </w:t>
      </w:r>
      <w:r>
        <w:rPr>
          <w:rFonts w:cs="Arial"/>
          <w:bCs/>
          <w:lang w:eastAsia="en-AU"/>
        </w:rPr>
        <w:t xml:space="preserve">child’s </w:t>
      </w:r>
      <w:r>
        <w:rPr>
          <w:rFonts w:cs="Arial"/>
          <w:bCs/>
          <w:lang w:eastAsia="en-AU"/>
        </w:rPr>
        <w:t>immediate safety concerns are addressed</w:t>
      </w:r>
      <w:r>
        <w:rPr>
          <w:rFonts w:cs="Arial"/>
          <w:bCs/>
          <w:lang w:eastAsia="en-AU"/>
        </w:rPr>
        <w:t>,</w:t>
      </w:r>
      <w:r>
        <w:rPr>
          <w:rFonts w:cs="Arial"/>
          <w:bCs/>
          <w:lang w:eastAsia="en-AU"/>
        </w:rPr>
        <w:t xml:space="preserve"> you must report all incidents </w:t>
      </w:r>
      <w:r>
        <w:rPr>
          <w:rFonts w:cs="Arial"/>
          <w:bCs/>
          <w:lang w:eastAsia="en-AU"/>
        </w:rPr>
        <w:t>or</w:t>
      </w:r>
      <w:r>
        <w:rPr>
          <w:rFonts w:cs="Arial"/>
          <w:bCs/>
          <w:lang w:eastAsia="en-AU"/>
        </w:rPr>
        <w:t xml:space="preserve"> </w:t>
      </w:r>
      <w:r>
        <w:rPr>
          <w:rFonts w:cs="Arial"/>
          <w:bCs/>
          <w:lang w:eastAsia="en-AU"/>
        </w:rPr>
        <w:t>disclosures of abuse</w:t>
      </w:r>
      <w:r>
        <w:rPr>
          <w:rFonts w:cs="Arial"/>
          <w:bCs/>
          <w:lang w:eastAsia="en-AU"/>
        </w:rPr>
        <w:t xml:space="preserve"> or serious neglect</w:t>
      </w:r>
      <w:r>
        <w:rPr>
          <w:rFonts w:cs="Arial"/>
          <w:bCs/>
          <w:lang w:eastAsia="en-AU"/>
        </w:rPr>
        <w:t xml:space="preserve">. </w:t>
      </w:r>
      <w:r>
        <w:rPr>
          <w:rFonts w:cs="Arial"/>
          <w:bCs/>
          <w:lang w:eastAsia="en-AU"/>
        </w:rPr>
        <w:t>You may be committing a criminal offence if you fail</w:t>
      </w:r>
      <w:r>
        <w:rPr>
          <w:rFonts w:cs="Arial"/>
          <w:bCs/>
          <w:lang w:eastAsia="en-AU"/>
        </w:rPr>
        <w:t xml:space="preserve"> to report </w:t>
      </w:r>
      <w:r>
        <w:rPr>
          <w:rFonts w:cs="Arial"/>
          <w:bCs/>
          <w:lang w:eastAsia="en-AU"/>
        </w:rPr>
        <w:t xml:space="preserve">allegations of </w:t>
      </w:r>
      <w:r>
        <w:rPr>
          <w:rFonts w:cs="Arial"/>
          <w:bCs/>
          <w:lang w:eastAsia="en-AU"/>
        </w:rPr>
        <w:t xml:space="preserve">physical </w:t>
      </w:r>
      <w:r>
        <w:rPr>
          <w:rFonts w:cs="Arial"/>
          <w:bCs/>
          <w:lang w:eastAsia="en-AU"/>
        </w:rPr>
        <w:t>or</w:t>
      </w:r>
      <w:r>
        <w:rPr>
          <w:rFonts w:cs="Arial"/>
          <w:bCs/>
          <w:lang w:eastAsia="en-AU"/>
        </w:rPr>
        <w:t xml:space="preserve"> sexual abuse</w:t>
      </w:r>
      <w:r>
        <w:rPr>
          <w:rFonts w:cs="Arial"/>
          <w:bCs/>
          <w:lang w:eastAsia="en-AU"/>
        </w:rPr>
        <w:t xml:space="preserve"> </w:t>
      </w:r>
      <w:r>
        <w:rPr>
          <w:rFonts w:cs="Arial"/>
          <w:bCs/>
          <w:lang w:eastAsia="en-AU"/>
        </w:rPr>
        <w:t>of a child</w:t>
      </w:r>
      <w:r>
        <w:rPr>
          <w:rFonts w:cs="Arial"/>
          <w:bCs/>
          <w:lang w:eastAsia="en-AU"/>
        </w:rPr>
        <w:t xml:space="preserve"> (refer to Mandatory Reporting on page 5)</w:t>
      </w:r>
      <w:r>
        <w:rPr>
          <w:rFonts w:cs="Arial"/>
          <w:bCs/>
          <w:lang w:eastAsia="en-AU"/>
        </w:rPr>
        <w:t>.</w:t>
      </w:r>
    </w:p>
    <w:p>
      <w:pPr>
        <w:pStyle w:val="DHHSbody"/>
        <w:rPr>
          <w:rFonts w:cs="Arial"/>
          <w:bCs/>
          <w:lang w:eastAsia="en-AU"/>
        </w:rPr>
      </w:pPr>
      <w:r>
        <w:rPr>
          <w:rFonts w:cs="Arial"/>
          <w:bCs/>
          <w:lang w:eastAsia="en-AU"/>
        </w:rPr>
        <w:t>The process for reporting should be outlined in your organisation’s policy for responding</w:t>
      </w:r>
      <w:r>
        <w:rPr>
          <w:rFonts w:cs="Arial"/>
          <w:bCs/>
          <w:lang w:eastAsia="en-AU"/>
        </w:rPr>
        <w:t xml:space="preserve"> to</w:t>
      </w:r>
      <w:r>
        <w:rPr>
          <w:rFonts w:cs="Arial"/>
          <w:bCs/>
          <w:lang w:eastAsia="en-AU"/>
        </w:rPr>
        <w:t xml:space="preserve"> and reporting child abuse. </w:t>
      </w:r>
      <w:r>
        <w:rPr>
          <w:rFonts w:cs="Arial"/>
          <w:bCs/>
          <w:lang w:eastAsia="en-AU"/>
        </w:rPr>
        <w:t>R</w:t>
      </w:r>
      <w:r>
        <w:rPr>
          <w:rFonts w:cs="Arial"/>
          <w:bCs/>
          <w:lang w:eastAsia="en-AU"/>
        </w:rPr>
        <w:t xml:space="preserve">eports should be made to the Chief Executive Officer or appropriate senior staff, </w:t>
      </w:r>
      <w:r>
        <w:t>such</w:t>
      </w:r>
      <w:r>
        <w:rPr>
          <w:rFonts w:cs="Arial"/>
          <w:bCs/>
          <w:lang w:eastAsia="en-AU"/>
        </w:rPr>
        <w:t xml:space="preserve"> as a child safety officer</w:t>
      </w:r>
      <w:r>
        <w:rPr>
          <w:rFonts w:cs="Arial"/>
          <w:bCs/>
          <w:lang w:eastAsia="en-AU"/>
        </w:rPr>
        <w:t>.</w:t>
      </w:r>
      <w:r>
        <w:rPr>
          <w:rFonts w:cs="Arial"/>
          <w:bCs/>
          <w:lang w:eastAsia="en-AU"/>
        </w:rPr>
        <w:t xml:space="preserve"> </w:t>
      </w:r>
      <w:r>
        <w:rPr>
          <w:rFonts w:cs="Arial"/>
          <w:bCs/>
          <w:lang w:eastAsia="en-AU"/>
        </w:rPr>
        <w:t>This may also include reporting to</w:t>
      </w:r>
      <w:r>
        <w:rPr>
          <w:rFonts w:cs="Arial"/>
          <w:bCs/>
          <w:lang w:eastAsia="en-AU"/>
        </w:rPr>
        <w:t>:</w:t>
      </w:r>
    </w:p>
    <w:p>
      <w:pPr>
        <w:pStyle w:val="DHHSbullet1"/>
        <w:rPr>
          <w:lang w:eastAsia="en-AU"/>
        </w:rPr>
      </w:pPr>
      <w:r>
        <w:rPr>
          <w:lang w:eastAsia="en-AU"/>
        </w:rPr>
        <w:t xml:space="preserve">Victoria Police (via </w:t>
      </w:r>
      <w:hyperlink r:id="rId11" w:history="1">
        <w:r>
          <w:rPr>
            <w:rStyle w:val="Hyperlink"/>
            <w:rFonts w:cs="Arial"/>
            <w:bCs/>
            <w:lang w:eastAsia="en-AU"/>
          </w:rPr>
          <w:t>your local police station</w:t>
        </w:r>
      </w:hyperlink>
      <w:r>
        <w:t xml:space="preserve"> </w:t>
      </w:r>
      <w:r>
        <w:rPr>
          <w:lang w:eastAsia="en-AU"/>
        </w:rPr>
        <w:t>&lt;</w:t>
      </w:r>
      <w:r>
        <w:rPr>
          <w:rFonts w:cs="Arial"/>
          <w:bCs/>
          <w:lang w:eastAsia="en-AU"/>
        </w:rPr>
        <w:t>http://www.police.vic.gov.au/content.asp?Document_ID=7</w:t>
      </w:r>
      <w:r>
        <w:rPr>
          <w:lang w:eastAsia="en-AU"/>
        </w:rPr>
        <w:t xml:space="preserve">&gt;) </w:t>
      </w:r>
      <w:r>
        <w:rPr>
          <w:lang w:eastAsia="en-AU"/>
        </w:rPr>
        <w:t>with information provided to include if the c</w:t>
      </w:r>
      <w:r>
        <w:rPr>
          <w:lang w:eastAsia="en-AU"/>
        </w:rPr>
        <w:t>lient</w:t>
      </w:r>
      <w:r>
        <w:rPr>
          <w:lang w:eastAsia="en-AU"/>
        </w:rPr>
        <w:t xml:space="preserve"> has a cognitive disability or mental illness and will need support of an independent third person during interview or when a statement is being taken</w:t>
      </w:r>
    </w:p>
    <w:p>
      <w:pPr>
        <w:pStyle w:val="DHHSbullet1"/>
      </w:pPr>
      <w:hyperlink r:id="rId12" w:history="1">
        <w:r>
          <w:rPr>
            <w:rStyle w:val="Hyperlink"/>
            <w:rFonts w:cs="Arial"/>
            <w:bCs/>
            <w:lang w:eastAsia="en-AU"/>
          </w:rPr>
          <w:t>Child Protection</w:t>
        </w:r>
      </w:hyperlink>
      <w:r>
        <w:t xml:space="preserve"> </w:t>
      </w:r>
      <w:r>
        <w:rPr>
          <w:rFonts w:cs="Arial"/>
          <w:bCs/>
          <w:lang w:eastAsia="en-AU"/>
        </w:rPr>
        <w:t xml:space="preserve">&lt;https://services.dhhs.vic.gov.au/child-protection-contacts&gt; </w:t>
      </w:r>
      <w:r>
        <w:rPr>
          <w:rFonts w:cs="Arial"/>
          <w:bCs/>
          <w:lang w:eastAsia="en-AU"/>
        </w:rPr>
        <w:t>i</w:t>
      </w:r>
      <w:r>
        <w:rPr>
          <w:rFonts w:cs="Arial"/>
          <w:bCs/>
          <w:lang w:eastAsia="en-AU"/>
        </w:rPr>
        <w:t xml:space="preserve">f you </w:t>
      </w:r>
      <w:r>
        <w:rPr>
          <w:rFonts w:cs="Arial"/>
          <w:bCs/>
          <w:lang w:eastAsia="en-AU"/>
        </w:rPr>
        <w:t xml:space="preserve">believe a child is </w:t>
      </w:r>
      <w:r>
        <w:rPr>
          <w:rFonts w:cs="Arial"/>
          <w:bCs/>
          <w:lang w:eastAsia="en-AU"/>
        </w:rPr>
        <w:t xml:space="preserve">at risk of significant harm and/or </w:t>
      </w:r>
      <w:r>
        <w:rPr>
          <w:rFonts w:cs="Arial"/>
          <w:bCs/>
          <w:lang w:eastAsia="en-AU"/>
        </w:rPr>
        <w:t>in need of protection</w:t>
      </w:r>
      <w:r>
        <w:rPr>
          <w:rFonts w:cs="Arial"/>
          <w:bCs/>
          <w:lang w:eastAsia="en-AU"/>
        </w:rPr>
        <w:t xml:space="preserve">. Please refer to the </w:t>
      </w:r>
      <w:hyperlink r:id="rId13" w:history="1">
        <w:r>
          <w:rPr>
            <w:rStyle w:val="Hyperlink"/>
          </w:rPr>
          <w:t>Professionals' reporting guide</w:t>
        </w:r>
      </w:hyperlink>
      <w:r>
        <w:t xml:space="preserve"> </w:t>
      </w:r>
      <w:r>
        <w:t xml:space="preserve"> &lt;</w:t>
      </w:r>
      <w:r>
        <w:rPr>
          <w:rFonts w:cs="Arial"/>
          <w:bCs/>
          <w:lang w:eastAsia="en-AU"/>
        </w:rPr>
        <w:t>http://www.cpmanual.vic.gov.au/advice-and-protocols/protocols/professionals-reporting-guide</w:t>
      </w:r>
      <w:r>
        <w:rPr>
          <w:rFonts w:cs="Arial"/>
          <w:bCs/>
          <w:lang w:eastAsia="en-AU"/>
        </w:rPr>
        <w:t xml:space="preserve">&gt; </w:t>
      </w:r>
      <w:r>
        <w:t>for further information</w:t>
      </w:r>
      <w:r>
        <w:t>.</w:t>
      </w:r>
    </w:p>
    <w:p>
      <w:pPr>
        <w:pStyle w:val="DHHSbullet1"/>
      </w:pPr>
      <w:r>
        <w:t xml:space="preserve">the Commission for Children and Young People if the matter is reportable conduct, </w:t>
      </w:r>
      <w:r>
        <w:t xml:space="preserve">and </w:t>
      </w:r>
      <w:r>
        <w:t xml:space="preserve">ensuring the report is made </w:t>
      </w:r>
      <w:hyperlink r:id="rId14" w:history="1">
        <w:r>
          <w:rPr>
            <w:rStyle w:val="Hyperlink"/>
          </w:rPr>
          <w:t xml:space="preserve">within </w:t>
        </w:r>
        <w:r>
          <w:rPr>
            <w:rStyle w:val="Hyperlink"/>
          </w:rPr>
          <w:t xml:space="preserve">the </w:t>
        </w:r>
        <w:r>
          <w:rPr>
            <w:rStyle w:val="Hyperlink"/>
          </w:rPr>
          <w:t>required timeframes</w:t>
        </w:r>
      </w:hyperlink>
      <w:r>
        <w:rPr>
          <w:rStyle w:val="Hyperlink"/>
        </w:rPr>
        <w:t xml:space="preserve"> </w:t>
      </w:r>
      <w:r>
        <w:t>&lt;</w:t>
      </w:r>
      <w:r>
        <w:t>https://ccyp.vic.gov.au/assets/resources/Responsibilities-of-the-head-of-an-organisation.docx</w:t>
      </w:r>
      <w:r>
        <w:t>&gt;</w:t>
      </w:r>
      <w:r>
        <w:t>.</w:t>
      </w:r>
      <w:r>
        <w:t xml:space="preserve"> </w:t>
      </w:r>
      <w:r>
        <w:t>S</w:t>
      </w:r>
      <w:r>
        <w:t>ee below for further information about the reportable conduct scheme</w:t>
      </w:r>
      <w:r>
        <w:t xml:space="preserve"> </w:t>
      </w:r>
    </w:p>
    <w:p>
      <w:pPr>
        <w:pStyle w:val="DHHSbullet1"/>
        <w:spacing w:afterLines="120" w:after="288"/>
      </w:pPr>
      <w:r>
        <w:t xml:space="preserve">the government department which funds and/or regulates your organisation </w:t>
      </w:r>
      <w:r>
        <w:t xml:space="preserve">, </w:t>
      </w:r>
      <w:r>
        <w:rPr>
          <w:rFonts w:cs="Arial"/>
          <w:bCs/>
          <w:lang w:eastAsia="en-AU"/>
        </w:rPr>
        <w:t xml:space="preserve">such as </w:t>
      </w:r>
      <w:r>
        <w:rPr>
          <w:rFonts w:cs="Arial"/>
          <w:bCs/>
          <w:lang w:eastAsia="en-AU"/>
        </w:rPr>
        <w:t>the Department of Health and Human Services (the department)</w:t>
      </w:r>
      <w:r>
        <w:rPr>
          <w:rFonts w:cs="Arial"/>
          <w:bCs/>
          <w:lang w:eastAsia="en-AU"/>
        </w:rPr>
        <w:t xml:space="preserve"> </w:t>
      </w:r>
      <w:r>
        <w:rPr>
          <w:rFonts w:cs="Arial"/>
          <w:bCs/>
          <w:lang w:eastAsia="en-AU"/>
        </w:rPr>
        <w:t>or the Department of Education and Training</w:t>
      </w:r>
      <w:r>
        <w:rPr>
          <w:rFonts w:cs="Arial"/>
          <w:bCs/>
          <w:lang w:eastAsia="en-AU"/>
        </w:rPr>
        <w:t>.</w:t>
      </w:r>
    </w:p>
    <w:p>
      <w:pPr>
        <w:pStyle w:val="DHHSbody"/>
        <w:rPr>
          <w:rFonts w:cs="Arial"/>
          <w:bCs/>
          <w:lang w:eastAsia="en-AU"/>
        </w:rPr>
      </w:pPr>
      <w:r>
        <w:rPr>
          <w:rFonts w:cs="Arial"/>
          <w:bCs/>
          <w:lang w:eastAsia="en-AU"/>
        </w:rPr>
        <w:t xml:space="preserve">As soon as possible after the </w:t>
      </w:r>
      <w:r>
        <w:rPr>
          <w:rFonts w:cs="Arial"/>
          <w:bCs/>
          <w:lang w:eastAsia="en-AU"/>
        </w:rPr>
        <w:t xml:space="preserve">incident or </w:t>
      </w:r>
      <w:r>
        <w:rPr>
          <w:rFonts w:cs="Arial"/>
          <w:bCs/>
          <w:lang w:eastAsia="en-AU"/>
        </w:rPr>
        <w:t>disclosure, record the information using the child’s words</w:t>
      </w:r>
      <w:r>
        <w:rPr>
          <w:rFonts w:cs="Arial"/>
          <w:bCs/>
          <w:lang w:eastAsia="en-AU"/>
        </w:rPr>
        <w:t xml:space="preserve"> while</w:t>
      </w:r>
      <w:r>
        <w:rPr>
          <w:rFonts w:cs="Arial"/>
          <w:bCs/>
          <w:lang w:eastAsia="en-AU"/>
        </w:rPr>
        <w:t xml:space="preserve"> ensur</w:t>
      </w:r>
      <w:r>
        <w:rPr>
          <w:rFonts w:cs="Arial"/>
          <w:bCs/>
          <w:lang w:eastAsia="en-AU"/>
        </w:rPr>
        <w:t>ing</w:t>
      </w:r>
      <w:r>
        <w:rPr>
          <w:rFonts w:cs="Arial"/>
          <w:bCs/>
          <w:lang w:eastAsia="en-AU"/>
        </w:rPr>
        <w:t xml:space="preserve"> that</w:t>
      </w:r>
      <w:r>
        <w:rPr>
          <w:rFonts w:cs="Arial"/>
          <w:bCs/>
          <w:lang w:eastAsia="en-AU"/>
        </w:rPr>
        <w:t xml:space="preserve"> the documentation </w:t>
      </w:r>
      <w:r>
        <w:rPr>
          <w:rFonts w:cs="Arial"/>
          <w:bCs/>
          <w:lang w:eastAsia="en-AU"/>
        </w:rPr>
        <w:t xml:space="preserve">is recorded accurately and stored securely. Likewise, ensure that any incident report, if required, is submitted </w:t>
      </w:r>
      <w:r>
        <w:rPr>
          <w:rFonts w:cs="Arial"/>
          <w:bCs/>
          <w:lang w:eastAsia="en-AU"/>
        </w:rPr>
        <w:t>with</w:t>
      </w:r>
      <w:r>
        <w:rPr>
          <w:rFonts w:cs="Arial"/>
          <w:bCs/>
          <w:lang w:eastAsia="en-AU"/>
        </w:rPr>
        <w:t>in</w:t>
      </w:r>
      <w:r>
        <w:rPr>
          <w:rFonts w:cs="Arial"/>
          <w:bCs/>
          <w:lang w:eastAsia="en-AU"/>
        </w:rPr>
        <w:t xml:space="preserve"> </w:t>
      </w:r>
      <w:r>
        <w:rPr>
          <w:rFonts w:cs="Arial"/>
          <w:bCs/>
          <w:lang w:eastAsia="en-AU"/>
        </w:rPr>
        <w:t xml:space="preserve">the </w:t>
      </w:r>
      <w:r>
        <w:rPr>
          <w:rFonts w:cs="Arial"/>
          <w:bCs/>
          <w:lang w:eastAsia="en-AU"/>
        </w:rPr>
        <w:t>appropriate timeframes</w:t>
      </w:r>
      <w:r>
        <w:rPr>
          <w:rFonts w:cs="Arial"/>
          <w:bCs/>
          <w:lang w:eastAsia="en-AU"/>
        </w:rPr>
        <w:t>.</w:t>
      </w:r>
    </w:p>
    <w:p>
      <w:pPr>
        <w:pStyle w:val="Heading2"/>
      </w:pPr>
      <w:r>
        <w:t>Action Four</w:t>
      </w:r>
      <w:r>
        <w:t xml:space="preserve"> </w:t>
      </w:r>
      <w:r>
        <w:t xml:space="preserve">- Contact </w:t>
      </w:r>
      <w:r>
        <w:t>parents, carers or guardians</w:t>
      </w:r>
    </w:p>
    <w:p>
      <w:pPr>
        <w:pStyle w:val="DHHSbody"/>
        <w:rPr>
          <w:rFonts w:cs="Arial"/>
          <w:bCs/>
          <w:lang w:eastAsia="en-AU"/>
        </w:rPr>
      </w:pPr>
      <w:r>
        <w:rPr>
          <w:rFonts w:cs="Arial"/>
          <w:bCs/>
          <w:lang w:eastAsia="en-AU"/>
        </w:rPr>
        <w:t xml:space="preserve">The process for </w:t>
      </w:r>
      <w:r>
        <w:rPr>
          <w:rFonts w:cs="Arial"/>
          <w:bCs/>
          <w:lang w:eastAsia="en-AU"/>
        </w:rPr>
        <w:t>contacting parents</w:t>
      </w:r>
      <w:r>
        <w:rPr>
          <w:rFonts w:cs="Arial"/>
          <w:bCs/>
          <w:lang w:eastAsia="en-AU"/>
        </w:rPr>
        <w:t xml:space="preserve">, carers or guardians of the child </w:t>
      </w:r>
      <w:r>
        <w:rPr>
          <w:rFonts w:cs="Arial"/>
          <w:bCs/>
          <w:lang w:eastAsia="en-AU"/>
        </w:rPr>
        <w:t>s</w:t>
      </w:r>
      <w:r>
        <w:rPr>
          <w:rFonts w:cs="Arial"/>
          <w:bCs/>
          <w:lang w:eastAsia="en-AU"/>
        </w:rPr>
        <w:t>hould be outlined in your organisation’s policy for responding</w:t>
      </w:r>
      <w:r>
        <w:rPr>
          <w:rFonts w:cs="Arial"/>
          <w:bCs/>
          <w:lang w:eastAsia="en-AU"/>
        </w:rPr>
        <w:t xml:space="preserve"> </w:t>
      </w:r>
      <w:r>
        <w:rPr>
          <w:rFonts w:cs="Arial"/>
          <w:bCs/>
          <w:lang w:eastAsia="en-AU"/>
        </w:rPr>
        <w:t xml:space="preserve">to </w:t>
      </w:r>
      <w:r>
        <w:rPr>
          <w:rFonts w:cs="Arial"/>
          <w:bCs/>
          <w:lang w:eastAsia="en-AU"/>
        </w:rPr>
        <w:t>and</w:t>
      </w:r>
      <w:r>
        <w:rPr>
          <w:rFonts w:cs="Arial"/>
          <w:bCs/>
          <w:lang w:eastAsia="en-AU"/>
        </w:rPr>
        <w:t xml:space="preserve"> reporting child abuse</w:t>
      </w:r>
      <w:r>
        <w:rPr>
          <w:rFonts w:cs="Arial"/>
          <w:bCs/>
          <w:lang w:eastAsia="en-AU"/>
        </w:rPr>
        <w:t xml:space="preserve">. </w:t>
      </w:r>
    </w:p>
    <w:p>
      <w:pPr>
        <w:pStyle w:val="DHHSbody"/>
        <w:rPr>
          <w:rFonts w:cs="Arial"/>
          <w:bCs/>
          <w:lang w:eastAsia="en-AU"/>
        </w:rPr>
      </w:pPr>
      <w:r>
        <w:rPr>
          <w:rFonts w:cs="Arial"/>
          <w:bCs/>
          <w:lang w:eastAsia="en-AU"/>
        </w:rPr>
        <w:t>O</w:t>
      </w:r>
      <w:r>
        <w:rPr>
          <w:rFonts w:cs="Arial"/>
          <w:bCs/>
          <w:lang w:eastAsia="en-AU"/>
        </w:rPr>
        <w:t>rganisations</w:t>
      </w:r>
      <w:r>
        <w:rPr>
          <w:rFonts w:cs="Arial"/>
          <w:bCs/>
          <w:lang w:eastAsia="en-AU"/>
        </w:rPr>
        <w:t xml:space="preserve"> </w:t>
      </w:r>
      <w:r>
        <w:rPr>
          <w:rFonts w:cs="Arial"/>
          <w:bCs/>
          <w:lang w:eastAsia="en-AU"/>
        </w:rPr>
        <w:t>should</w:t>
      </w:r>
      <w:r>
        <w:rPr>
          <w:rFonts w:cs="Arial"/>
          <w:bCs/>
          <w:lang w:eastAsia="en-AU"/>
        </w:rPr>
        <w:t xml:space="preserve"> </w:t>
      </w:r>
      <w:r>
        <w:rPr>
          <w:rFonts w:cs="Arial"/>
          <w:bCs/>
          <w:lang w:eastAsia="en-AU"/>
        </w:rPr>
        <w:t>advi</w:t>
      </w:r>
      <w:r>
        <w:rPr>
          <w:rFonts w:cs="Arial"/>
          <w:bCs/>
          <w:lang w:eastAsia="en-AU"/>
        </w:rPr>
        <w:t>s</w:t>
      </w:r>
      <w:r>
        <w:rPr>
          <w:rFonts w:cs="Arial"/>
          <w:bCs/>
          <w:lang w:eastAsia="en-AU"/>
        </w:rPr>
        <w:t>e</w:t>
      </w:r>
      <w:r>
        <w:rPr>
          <w:rFonts w:cs="Arial"/>
          <w:bCs/>
          <w:lang w:eastAsia="en-AU"/>
        </w:rPr>
        <w:t xml:space="preserve"> Child Protection </w:t>
      </w:r>
      <w:r>
        <w:rPr>
          <w:rFonts w:cs="Arial"/>
          <w:bCs/>
          <w:lang w:eastAsia="en-AU"/>
        </w:rPr>
        <w:t>and/</w:t>
      </w:r>
      <w:r>
        <w:rPr>
          <w:rFonts w:cs="Arial"/>
          <w:bCs/>
          <w:lang w:eastAsia="en-AU"/>
        </w:rPr>
        <w:t>or Victoria Police</w:t>
      </w:r>
      <w:r>
        <w:t xml:space="preserve"> </w:t>
      </w:r>
      <w:r>
        <w:rPr>
          <w:rFonts w:cs="Arial"/>
          <w:bCs/>
          <w:lang w:eastAsia="en-AU"/>
        </w:rPr>
        <w:t xml:space="preserve">when </w:t>
      </w:r>
      <w:r>
        <w:rPr>
          <w:rFonts w:cs="Arial"/>
          <w:bCs/>
          <w:lang w:eastAsia="en-AU"/>
        </w:rPr>
        <w:t>a</w:t>
      </w:r>
      <w:r>
        <w:rPr>
          <w:rFonts w:cs="Arial"/>
          <w:bCs/>
          <w:lang w:eastAsia="en-AU"/>
        </w:rPr>
        <w:t xml:space="preserve"> child has disclosed </w:t>
      </w:r>
      <w:r>
        <w:rPr>
          <w:rFonts w:cs="Arial"/>
          <w:bCs/>
          <w:lang w:eastAsia="en-AU"/>
        </w:rPr>
        <w:t>allegations of abuse</w:t>
      </w:r>
      <w:r>
        <w:rPr>
          <w:rFonts w:cs="Arial"/>
          <w:bCs/>
          <w:lang w:eastAsia="en-AU"/>
        </w:rPr>
        <w:t xml:space="preserve"> perpetrated by their</w:t>
      </w:r>
      <w:r>
        <w:rPr>
          <w:rFonts w:cs="Arial"/>
          <w:bCs/>
          <w:lang w:eastAsia="en-AU"/>
        </w:rPr>
        <w:t xml:space="preserve"> parent, carer</w:t>
      </w:r>
      <w:r>
        <w:rPr>
          <w:rFonts w:cs="Arial"/>
          <w:bCs/>
          <w:lang w:eastAsia="en-AU"/>
        </w:rPr>
        <w:t>, guardian</w:t>
      </w:r>
      <w:r>
        <w:rPr>
          <w:rFonts w:cs="Arial"/>
          <w:bCs/>
          <w:lang w:eastAsia="en-AU"/>
        </w:rPr>
        <w:t xml:space="preserve"> or another family member. </w:t>
      </w:r>
      <w:r>
        <w:rPr>
          <w:rFonts w:cs="Arial"/>
          <w:bCs/>
          <w:lang w:eastAsia="en-AU"/>
        </w:rPr>
        <w:t>This is critical to ensur</w:t>
      </w:r>
      <w:r>
        <w:rPr>
          <w:rFonts w:cs="Arial"/>
          <w:bCs/>
          <w:lang w:eastAsia="en-AU"/>
        </w:rPr>
        <w:t>ing</w:t>
      </w:r>
      <w:r>
        <w:rPr>
          <w:rFonts w:cs="Arial"/>
          <w:bCs/>
          <w:lang w:eastAsia="en-AU"/>
        </w:rPr>
        <w:t xml:space="preserve"> the safety of the child as well as to avoid compromis</w:t>
      </w:r>
      <w:r>
        <w:rPr>
          <w:rFonts w:cs="Arial"/>
          <w:bCs/>
          <w:lang w:eastAsia="en-AU"/>
        </w:rPr>
        <w:t>ing</w:t>
      </w:r>
      <w:r>
        <w:rPr>
          <w:rFonts w:cs="Arial"/>
          <w:bCs/>
          <w:lang w:eastAsia="en-AU"/>
        </w:rPr>
        <w:t xml:space="preserve"> </w:t>
      </w:r>
      <w:r>
        <w:rPr>
          <w:rFonts w:cs="Arial"/>
          <w:bCs/>
          <w:lang w:eastAsia="en-AU"/>
        </w:rPr>
        <w:t xml:space="preserve">any </w:t>
      </w:r>
      <w:r>
        <w:rPr>
          <w:rFonts w:cs="Arial"/>
          <w:bCs/>
          <w:lang w:eastAsia="en-AU"/>
        </w:rPr>
        <w:t>investigations conducted by the relevant authorities or agencies.</w:t>
      </w:r>
    </w:p>
    <w:p>
      <w:pPr>
        <w:pStyle w:val="DHHSbody"/>
        <w:rPr>
          <w:rFonts w:cs="Arial"/>
          <w:bCs/>
          <w:lang w:eastAsia="en-AU"/>
        </w:rPr>
      </w:pPr>
      <w:r>
        <w:rPr>
          <w:rFonts w:cs="Arial"/>
          <w:bCs/>
          <w:lang w:eastAsia="en-AU"/>
        </w:rPr>
        <w:t xml:space="preserve">Where appropriate, </w:t>
      </w:r>
      <w:r>
        <w:rPr>
          <w:rFonts w:cs="Arial"/>
          <w:bCs/>
          <w:lang w:eastAsia="en-AU"/>
        </w:rPr>
        <w:t xml:space="preserve">a senior representative of the </w:t>
      </w:r>
      <w:r>
        <w:rPr>
          <w:rFonts w:cs="Arial"/>
          <w:bCs/>
          <w:lang w:eastAsia="en-AU"/>
        </w:rPr>
        <w:t>organisation should make sensitive and professional contact with parents</w:t>
      </w:r>
      <w:r>
        <w:rPr>
          <w:rFonts w:cs="Arial"/>
          <w:bCs/>
          <w:lang w:eastAsia="en-AU"/>
        </w:rPr>
        <w:t>,</w:t>
      </w:r>
      <w:r>
        <w:rPr>
          <w:rFonts w:cs="Arial"/>
          <w:bCs/>
          <w:lang w:eastAsia="en-AU"/>
        </w:rPr>
        <w:t xml:space="preserve"> </w:t>
      </w:r>
      <w:r>
        <w:rPr>
          <w:rFonts w:cs="Arial"/>
          <w:bCs/>
          <w:lang w:eastAsia="en-AU"/>
        </w:rPr>
        <w:t xml:space="preserve">carers or guardians of the child </w:t>
      </w:r>
      <w:r>
        <w:rPr>
          <w:rFonts w:cs="Arial"/>
          <w:bCs/>
          <w:lang w:eastAsia="en-AU"/>
        </w:rPr>
        <w:t xml:space="preserve">as soon as possible on the day of the </w:t>
      </w:r>
      <w:r>
        <w:rPr>
          <w:rFonts w:cs="Arial"/>
          <w:bCs/>
          <w:lang w:eastAsia="en-AU"/>
        </w:rPr>
        <w:t>incident or</w:t>
      </w:r>
      <w:r>
        <w:rPr>
          <w:rFonts w:cs="Arial"/>
          <w:bCs/>
          <w:lang w:eastAsia="en-AU"/>
        </w:rPr>
        <w:t xml:space="preserve"> disclosure</w:t>
      </w:r>
      <w:r>
        <w:rPr>
          <w:rFonts w:cs="Arial"/>
          <w:bCs/>
          <w:lang w:eastAsia="en-AU"/>
        </w:rPr>
        <w:t>.</w:t>
      </w:r>
    </w:p>
    <w:p>
      <w:pPr>
        <w:pStyle w:val="DHHSbody"/>
      </w:pPr>
      <w:r>
        <w:t>W</w:t>
      </w:r>
      <w:r>
        <w:t xml:space="preserve">here it is suspected that a child has been, or is at risk of being abused, </w:t>
      </w:r>
      <w:r>
        <w:t xml:space="preserve">a </w:t>
      </w:r>
      <w:r>
        <w:rPr>
          <w:rFonts w:cs="Arial"/>
          <w:bCs/>
          <w:lang w:eastAsia="en-AU"/>
        </w:rPr>
        <w:t>parent, carer or guardian of the child</w:t>
      </w:r>
      <w:r>
        <w:rPr>
          <w:rFonts w:cs="Arial"/>
          <w:bCs/>
          <w:lang w:eastAsia="en-AU"/>
        </w:rPr>
        <w:t xml:space="preserve"> </w:t>
      </w:r>
      <w:r>
        <w:t>must be</w:t>
      </w:r>
      <w:r>
        <w:t xml:space="preserve"> notified as soon as practicable</w:t>
      </w:r>
      <w:r>
        <w:t>. This is not applicable where</w:t>
      </w:r>
      <w:r>
        <w:t xml:space="preserve"> </w:t>
      </w:r>
      <w:r>
        <w:t xml:space="preserve">it is known or suspected </w:t>
      </w:r>
      <w:r>
        <w:t xml:space="preserve">that </w:t>
      </w:r>
      <w:r>
        <w:t xml:space="preserve">the </w:t>
      </w:r>
      <w:r>
        <w:rPr>
          <w:rFonts w:cs="Arial"/>
          <w:bCs/>
          <w:lang w:eastAsia="en-AU"/>
        </w:rPr>
        <w:t>parent, carer or guardian</w:t>
      </w:r>
      <w:r>
        <w:t xml:space="preserve"> </w:t>
      </w:r>
      <w:r>
        <w:t xml:space="preserve">is the alleged perpetrator of </w:t>
      </w:r>
      <w:r>
        <w:t>harm or</w:t>
      </w:r>
      <w:r>
        <w:t xml:space="preserve"> abuse </w:t>
      </w:r>
      <w:r>
        <w:t>and/</w:t>
      </w:r>
      <w:r>
        <w:t>or</w:t>
      </w:r>
      <w:r>
        <w:t xml:space="preserve"> is </w:t>
      </w:r>
      <w:r>
        <w:t>unlikely</w:t>
      </w:r>
      <w:r>
        <w:t xml:space="preserve"> to protect the child</w:t>
      </w:r>
      <w:r>
        <w:t xml:space="preserve">. This enables </w:t>
      </w:r>
      <w:r>
        <w:rPr>
          <w:rFonts w:cs="Arial"/>
          <w:bCs/>
          <w:lang w:eastAsia="en-AU"/>
        </w:rPr>
        <w:t xml:space="preserve">parents, carers and guardians </w:t>
      </w:r>
      <w:r>
        <w:t>to take steps to:</w:t>
      </w:r>
    </w:p>
    <w:p>
      <w:pPr>
        <w:pStyle w:val="DHHSbullet1"/>
      </w:pPr>
      <w:r>
        <w:t>prevent or limit their child’s exposure to further abuse</w:t>
      </w:r>
      <w:r>
        <w:t>; and</w:t>
      </w:r>
    </w:p>
    <w:p>
      <w:pPr>
        <w:pStyle w:val="DHHSbullet1"/>
        <w:rPr>
          <w:rFonts w:cs="Arial"/>
          <w:bCs/>
          <w:lang w:eastAsia="en-AU"/>
        </w:rPr>
      </w:pPr>
      <w:r>
        <w:t>ensure that their child receives the support that they require</w:t>
      </w:r>
      <w:r>
        <w:t>.</w:t>
      </w:r>
    </w:p>
    <w:p>
      <w:pPr>
        <w:pStyle w:val="DHHSbody"/>
        <w:spacing w:before="200"/>
        <w:rPr>
          <w:rFonts w:cs="Arial"/>
          <w:bCs/>
          <w:lang w:eastAsia="en-AU"/>
        </w:rPr>
      </w:pPr>
      <w:r>
        <w:rPr>
          <w:rFonts w:cs="Arial"/>
          <w:bCs/>
          <w:lang w:eastAsia="en-AU"/>
        </w:rPr>
        <w:t>During this conversation</w:t>
      </w:r>
      <w:r>
        <w:rPr>
          <w:rFonts w:cs="Arial"/>
          <w:bCs/>
          <w:lang w:eastAsia="en-AU"/>
        </w:rPr>
        <w:t>,</w:t>
      </w:r>
      <w:r>
        <w:rPr>
          <w:rFonts w:cs="Arial"/>
          <w:bCs/>
          <w:lang w:eastAsia="en-AU"/>
        </w:rPr>
        <w:t xml:space="preserve"> it is important to:</w:t>
      </w:r>
    </w:p>
    <w:p>
      <w:pPr>
        <w:pStyle w:val="DHHSbullet1"/>
      </w:pPr>
      <w:r>
        <w:t>remain calm</w:t>
      </w:r>
    </w:p>
    <w:p>
      <w:pPr>
        <w:pStyle w:val="DHHSbullet1"/>
      </w:pPr>
      <w:r>
        <w:t>be empathic to feelings</w:t>
      </w:r>
    </w:p>
    <w:p>
      <w:pPr>
        <w:pStyle w:val="DHHSbullet1"/>
      </w:pPr>
      <w:r>
        <w:t>validate concerns</w:t>
      </w:r>
    </w:p>
    <w:p>
      <w:pPr>
        <w:pStyle w:val="DHHSbullet1"/>
      </w:pPr>
      <w:r>
        <w:t>provide appropriate details of the incident, disclosure and/or suspicion of child abuse</w:t>
      </w:r>
    </w:p>
    <w:p>
      <w:pPr>
        <w:pStyle w:val="DHHSbullet1"/>
      </w:pPr>
      <w:r>
        <w:t>outline the action the organisation has taken to date</w:t>
      </w:r>
    </w:p>
    <w:p>
      <w:pPr>
        <w:pStyle w:val="DHHSbullet1"/>
      </w:pPr>
      <w:r>
        <w:t>inform them of who the incident, disclosure and/or suspicion has been reported to</w:t>
      </w:r>
    </w:p>
    <w:p>
      <w:pPr>
        <w:pStyle w:val="DHHSbullet1"/>
      </w:pPr>
      <w:r>
        <w:lastRenderedPageBreak/>
        <w:t xml:space="preserve">where relevant, </w:t>
      </w:r>
      <w:r>
        <w:t xml:space="preserve">provide the name and contact </w:t>
      </w:r>
      <w:r>
        <w:t>tele</w:t>
      </w:r>
      <w:r>
        <w:t xml:space="preserve">phone number of Child Protection and/or </w:t>
      </w:r>
      <w:r>
        <w:t xml:space="preserve">the investigating </w:t>
      </w:r>
      <w:r>
        <w:t xml:space="preserve">police officer and </w:t>
      </w:r>
      <w:r>
        <w:t xml:space="preserve">advise as to </w:t>
      </w:r>
      <w:r>
        <w:t>whether they are likely to be contacted by these authorities</w:t>
      </w:r>
    </w:p>
    <w:p>
      <w:pPr>
        <w:pStyle w:val="DHHSbullet1"/>
      </w:pPr>
      <w:r>
        <w:t>inform them the investigation may take some time and ask what further information they would like and how staff can assist them</w:t>
      </w:r>
    </w:p>
    <w:p>
      <w:pPr>
        <w:pStyle w:val="DHHSbullet1"/>
      </w:pPr>
      <w:r>
        <w:t>offer for the organisation to provide support to the child</w:t>
      </w:r>
    </w:p>
    <w:p>
      <w:pPr>
        <w:pStyle w:val="DHHSbullet1"/>
      </w:pPr>
      <w:r>
        <w:t xml:space="preserve">inform them </w:t>
      </w:r>
      <w:r>
        <w:t xml:space="preserve">that </w:t>
      </w:r>
      <w:r>
        <w:t>the organisation</w:t>
      </w:r>
      <w:r>
        <w:t xml:space="preserve"> can make </w:t>
      </w:r>
      <w:r>
        <w:t>referral</w:t>
      </w:r>
      <w:r>
        <w:t xml:space="preserve">s to </w:t>
      </w:r>
      <w:r>
        <w:t xml:space="preserve">support services </w:t>
      </w:r>
    </w:p>
    <w:p>
      <w:pPr>
        <w:pStyle w:val="DHHSbullet1"/>
      </w:pPr>
      <w:r>
        <w:t xml:space="preserve">if possible, </w:t>
      </w:r>
      <w:r>
        <w:t xml:space="preserve">invite the </w:t>
      </w:r>
      <w:r>
        <w:rPr>
          <w:rFonts w:cs="Arial"/>
          <w:bCs/>
          <w:lang w:eastAsia="en-AU"/>
        </w:rPr>
        <w:t xml:space="preserve">parents, carers or guardians </w:t>
      </w:r>
      <w:r>
        <w:t xml:space="preserve">to attend a meeting where </w:t>
      </w:r>
      <w:r>
        <w:t xml:space="preserve">a </w:t>
      </w:r>
      <w:r>
        <w:t xml:space="preserve">support </w:t>
      </w:r>
      <w:r>
        <w:t xml:space="preserve">plan can be prepared to ensure appropriate support can be provided for their child. </w:t>
      </w:r>
    </w:p>
    <w:p>
      <w:pPr>
        <w:pStyle w:val="Heading2"/>
      </w:pPr>
      <w:r>
        <w:t>Action Five - Provide on</w:t>
      </w:r>
      <w:r>
        <w:t>going support</w:t>
      </w:r>
    </w:p>
    <w:p>
      <w:pPr>
        <w:pStyle w:val="DHHSbody"/>
        <w:rPr>
          <w:rFonts w:cs="Arial"/>
          <w:bCs/>
          <w:lang w:eastAsia="en-AU"/>
        </w:rPr>
      </w:pPr>
      <w:r>
        <w:rPr>
          <w:rFonts w:cs="Arial"/>
          <w:bCs/>
          <w:lang w:eastAsia="en-AU"/>
        </w:rPr>
        <w:t xml:space="preserve">Experiences of child abuse can cause trauma and significantly impact the mental health and wellbeing of children. </w:t>
      </w:r>
    </w:p>
    <w:p>
      <w:pPr>
        <w:pStyle w:val="DHHSbody"/>
        <w:rPr>
          <w:rFonts w:cs="Arial"/>
          <w:bCs/>
          <w:lang w:eastAsia="en-AU"/>
        </w:rPr>
      </w:pPr>
      <w:r>
        <w:rPr>
          <w:rFonts w:cs="Arial"/>
          <w:bCs/>
          <w:lang w:eastAsia="en-AU"/>
        </w:rPr>
        <w:t>In addition to reporting and referral to relevant authorities, organisations that provide services to children can play a central role in addressing this tr</w:t>
      </w:r>
      <w:r>
        <w:rPr>
          <w:rFonts w:cs="Arial"/>
          <w:bCs/>
          <w:lang w:eastAsia="en-AU"/>
        </w:rPr>
        <w:t xml:space="preserve">auma and have </w:t>
      </w:r>
      <w:r>
        <w:rPr>
          <w:rFonts w:cs="Arial"/>
          <w:bCs/>
          <w:lang w:eastAsia="en-AU"/>
        </w:rPr>
        <w:t>a responsibility to ensure that ch</w:t>
      </w:r>
      <w:r>
        <w:rPr>
          <w:rFonts w:cs="Arial"/>
          <w:bCs/>
          <w:lang w:eastAsia="en-AU"/>
        </w:rPr>
        <w:t xml:space="preserve">ildren feel safe and supported. This should be done in partnership and </w:t>
      </w:r>
      <w:r>
        <w:rPr>
          <w:rFonts w:cs="Arial"/>
          <w:bCs/>
          <w:lang w:eastAsia="en-AU"/>
        </w:rPr>
        <w:t xml:space="preserve">with the </w:t>
      </w:r>
      <w:r>
        <w:rPr>
          <w:rFonts w:cs="Arial"/>
          <w:bCs/>
          <w:lang w:eastAsia="en-AU"/>
        </w:rPr>
        <w:t xml:space="preserve">consent of </w:t>
      </w:r>
      <w:r>
        <w:rPr>
          <w:rFonts w:cs="Arial"/>
          <w:bCs/>
          <w:lang w:eastAsia="en-AU"/>
        </w:rPr>
        <w:t>parents, carers or guardians</w:t>
      </w:r>
      <w:r>
        <w:rPr>
          <w:rFonts w:cs="Arial"/>
          <w:bCs/>
          <w:lang w:eastAsia="en-AU"/>
        </w:rPr>
        <w:t xml:space="preserve">. </w:t>
      </w:r>
    </w:p>
    <w:p>
      <w:pPr>
        <w:pStyle w:val="DHHSbody"/>
        <w:rPr>
          <w:rFonts w:cs="Arial"/>
          <w:bCs/>
          <w:lang w:eastAsia="en-AU"/>
        </w:rPr>
      </w:pPr>
      <w:r>
        <w:rPr>
          <w:rFonts w:cs="Arial"/>
          <w:bCs/>
          <w:lang w:eastAsia="en-AU"/>
        </w:rPr>
        <w:t>Support can include referral to wellbeing professionals and community services (such as counselling) and may involve the development of a support plan.</w:t>
      </w:r>
    </w:p>
    <w:p>
      <w:pPr>
        <w:pStyle w:val="DHHSbody"/>
        <w:rPr>
          <w:rFonts w:cs="Arial"/>
          <w:bCs/>
          <w:lang w:eastAsia="en-AU"/>
        </w:rPr>
      </w:pPr>
      <w:r>
        <w:rPr>
          <w:rFonts w:cs="Arial"/>
          <w:bCs/>
          <w:lang w:eastAsia="en-AU"/>
        </w:rPr>
        <w:t xml:space="preserve">Support </w:t>
      </w:r>
      <w:r>
        <w:rPr>
          <w:rFonts w:cs="Arial"/>
          <w:bCs/>
          <w:lang w:eastAsia="en-AU"/>
        </w:rPr>
        <w:t>in the form of</w:t>
      </w:r>
      <w:r>
        <w:rPr>
          <w:rFonts w:cs="Arial"/>
          <w:bCs/>
          <w:lang w:eastAsia="en-AU"/>
        </w:rPr>
        <w:t xml:space="preserve"> debriefing should also be provided to any impacted staff members.</w:t>
      </w:r>
    </w:p>
    <w:p>
      <w:pPr>
        <w:pStyle w:val="Heading1"/>
      </w:pPr>
      <w:r>
        <w:t xml:space="preserve">Responding to a </w:t>
      </w:r>
      <w:r>
        <w:t>parent, carer or guardian</w:t>
      </w:r>
      <w:r>
        <w:t xml:space="preserve"> of a child</w:t>
      </w:r>
    </w:p>
    <w:p>
      <w:pPr>
        <w:pStyle w:val="DHHSbody"/>
      </w:pPr>
      <w:r>
        <w:t xml:space="preserve">If a parent, carer or guardian says their child has been abused in your organisation or raises a concern, </w:t>
      </w:r>
      <w:r>
        <w:t>you should:</w:t>
      </w:r>
    </w:p>
    <w:p>
      <w:pPr>
        <w:pStyle w:val="DHHSbullet1"/>
      </w:pPr>
      <w:r>
        <w:t>explain that your organisation has processes to ensure all abuse allegations are taken very seriously</w:t>
      </w:r>
    </w:p>
    <w:p>
      <w:pPr>
        <w:pStyle w:val="DHHSbullet1"/>
      </w:pPr>
      <w:r>
        <w:t>ask about the</w:t>
      </w:r>
      <w:r>
        <w:t xml:space="preserve"> safety and</w:t>
      </w:r>
      <w:r>
        <w:t xml:space="preserve"> wellbeing of the child</w:t>
      </w:r>
    </w:p>
    <w:p>
      <w:pPr>
        <w:pStyle w:val="DHHSbullet1"/>
      </w:pPr>
      <w:r>
        <w:t xml:space="preserve">allow the </w:t>
      </w:r>
      <w:r>
        <w:t>parent, carer or guardian</w:t>
      </w:r>
      <w:r>
        <w:t xml:space="preserve"> to talk through the incident in their own words</w:t>
      </w:r>
    </w:p>
    <w:p>
      <w:pPr>
        <w:pStyle w:val="DHHSbullet1"/>
      </w:pPr>
      <w:r>
        <w:t xml:space="preserve">advise the </w:t>
      </w:r>
      <w:r>
        <w:t>parent, carer or guardian</w:t>
      </w:r>
      <w:r>
        <w:t xml:space="preserve"> that you will take notes during the discussion to capture all details</w:t>
      </w:r>
    </w:p>
    <w:p>
      <w:pPr>
        <w:pStyle w:val="DHHSbullet1"/>
      </w:pPr>
      <w:r>
        <w:t xml:space="preserve">explain to them </w:t>
      </w:r>
      <w:r>
        <w:t xml:space="preserve">that you will need to follow the organisation’s reporting process which includes informing </w:t>
      </w:r>
      <w:r>
        <w:t xml:space="preserve"> the organisation’s </w:t>
      </w:r>
      <w:r>
        <w:t xml:space="preserve">management or </w:t>
      </w:r>
      <w:r>
        <w:t>c</w:t>
      </w:r>
      <w:r>
        <w:t xml:space="preserve">hild </w:t>
      </w:r>
      <w:r>
        <w:t>s</w:t>
      </w:r>
      <w:r>
        <w:t xml:space="preserve">afety </w:t>
      </w:r>
      <w:r>
        <w:t>of</w:t>
      </w:r>
      <w:r>
        <w:t>ficer</w:t>
      </w:r>
      <w:r>
        <w:t xml:space="preserve"> and</w:t>
      </w:r>
      <w:r>
        <w:rPr>
          <w:rFonts w:cs="Arial"/>
          <w:bCs/>
          <w:lang w:eastAsia="en-AU"/>
        </w:rPr>
        <w:t xml:space="preserve"> </w:t>
      </w:r>
      <w:r>
        <w:rPr>
          <w:rFonts w:cs="Arial"/>
          <w:bCs/>
          <w:lang w:eastAsia="en-AU"/>
        </w:rPr>
        <w:t>where appropriate</w:t>
      </w:r>
      <w:r>
        <w:rPr>
          <w:rFonts w:cs="Arial"/>
          <w:bCs/>
          <w:lang w:eastAsia="en-AU"/>
        </w:rPr>
        <w:t>,</w:t>
      </w:r>
      <w:r>
        <w:rPr>
          <w:rFonts w:cs="Arial"/>
          <w:bCs/>
          <w:lang w:eastAsia="en-AU"/>
        </w:rPr>
        <w:t xml:space="preserve"> </w:t>
      </w:r>
      <w:r>
        <w:rPr>
          <w:rFonts w:cs="Arial"/>
          <w:bCs/>
          <w:lang w:eastAsia="en-AU"/>
        </w:rPr>
        <w:t xml:space="preserve">Child Protection </w:t>
      </w:r>
      <w:r>
        <w:rPr>
          <w:rFonts w:cs="Arial"/>
          <w:bCs/>
          <w:lang w:eastAsia="en-AU"/>
        </w:rPr>
        <w:t>and/</w:t>
      </w:r>
      <w:r>
        <w:rPr>
          <w:rFonts w:cs="Arial"/>
          <w:bCs/>
          <w:lang w:eastAsia="en-AU"/>
        </w:rPr>
        <w:t>or Victoria Police</w:t>
      </w:r>
    </w:p>
    <w:p>
      <w:pPr>
        <w:pStyle w:val="DHHSbullet1"/>
      </w:pPr>
      <w:r>
        <w:t>not make promises except that you will do yo</w:t>
      </w:r>
      <w:r>
        <w:t>ur best to keep the child safe</w:t>
      </w:r>
    </w:p>
    <w:p>
      <w:pPr>
        <w:pStyle w:val="DHHSbullet1"/>
      </w:pPr>
      <w:r>
        <w:t xml:space="preserve">provide them with </w:t>
      </w:r>
      <w:r>
        <w:t xml:space="preserve">any incident reports </w:t>
      </w:r>
    </w:p>
    <w:p>
      <w:pPr>
        <w:pStyle w:val="DHHSbullet1"/>
      </w:pPr>
      <w:r>
        <w:t>a</w:t>
      </w:r>
      <w:r>
        <w:t xml:space="preserve">sk them what action they would like </w:t>
      </w:r>
      <w:r>
        <w:t xml:space="preserve">the organisation to take about the disclosure </w:t>
      </w:r>
      <w:r>
        <w:t xml:space="preserve">and advise them of what the immediate </w:t>
      </w:r>
      <w:r>
        <w:t>next steps will be</w:t>
      </w:r>
    </w:p>
    <w:p>
      <w:pPr>
        <w:pStyle w:val="DHHSbullet1"/>
      </w:pPr>
      <w:r>
        <w:t>e</w:t>
      </w:r>
      <w:r>
        <w:t xml:space="preserve">nsure </w:t>
      </w:r>
      <w:r>
        <w:t xml:space="preserve">that </w:t>
      </w:r>
      <w:r>
        <w:t>the report is recorded accurately</w:t>
      </w:r>
      <w:r>
        <w:t xml:space="preserve"> and </w:t>
      </w:r>
      <w:r>
        <w:t>stored securely</w:t>
      </w:r>
      <w:r>
        <w:t xml:space="preserve"> </w:t>
      </w:r>
    </w:p>
    <w:p>
      <w:pPr>
        <w:pStyle w:val="DHHSbullet1"/>
        <w:spacing w:after="120"/>
      </w:pPr>
      <w:r>
        <w:t>r</w:t>
      </w:r>
      <w:r>
        <w:t>eport and provide ongoing support as per Actions Three and Five above.</w:t>
      </w:r>
    </w:p>
    <w:p>
      <w:pPr>
        <w:pStyle w:val="Heading1"/>
      </w:pPr>
      <w:r>
        <w:t>Overarching principles</w:t>
      </w:r>
    </w:p>
    <w:p>
      <w:pPr>
        <w:pStyle w:val="DHHSbullet1lastline"/>
      </w:pPr>
      <w:r>
        <w:t xml:space="preserve">When dealing with disclosures of abuse, consider the principles underpinning the </w:t>
      </w:r>
      <w:r>
        <w:t xml:space="preserve">Child Safe </w:t>
      </w:r>
      <w:r>
        <w:t>Standards</w:t>
      </w:r>
      <w:r>
        <w:t>.</w:t>
      </w:r>
    </w:p>
    <w:p>
      <w:pPr>
        <w:pStyle w:val="DHHSbody"/>
      </w:pPr>
      <w:r>
        <w:t>B</w:t>
      </w:r>
      <w:r>
        <w:t>e aware that some people from culturally and/or linguistically diverse backgrounds may face barriers in reporting allegations of abuse. For example, people from some cultures may experience anxiety when talking with police, and communicating in English may be a barrier for some</w:t>
      </w:r>
      <w:r>
        <w:t xml:space="preserve"> individuals</w:t>
      </w:r>
      <w:r>
        <w:t xml:space="preserve">. You </w:t>
      </w:r>
      <w:r>
        <w:t>must</w:t>
      </w:r>
      <w:r>
        <w:t xml:space="preserve"> be sensitive to these issues and </w:t>
      </w:r>
      <w:r>
        <w:t xml:space="preserve">address </w:t>
      </w:r>
      <w:r>
        <w:t xml:space="preserve">people’s needs where possible, such as having an interpreter present. </w:t>
      </w:r>
    </w:p>
    <w:p>
      <w:pPr>
        <w:pStyle w:val="DHHSbody"/>
      </w:pPr>
      <w:r>
        <w:t xml:space="preserve">To ensure a </w:t>
      </w:r>
      <w:r>
        <w:t>culturally appropriate response</w:t>
      </w:r>
      <w:r>
        <w:t xml:space="preserve"> to abuse against an Aboriginal child, consider </w:t>
      </w:r>
      <w:r>
        <w:t xml:space="preserve">engaging with parents of Aboriginal children, local Aboriginal communities or an Aboriginal community controlled organisation to review policies and procedures to ensure </w:t>
      </w:r>
      <w:r>
        <w:t xml:space="preserve">that </w:t>
      </w:r>
      <w:r>
        <w:t xml:space="preserve">they provide an appropriate response. </w:t>
      </w:r>
    </w:p>
    <w:p>
      <w:pPr>
        <w:pStyle w:val="DHHSbody"/>
      </w:pPr>
      <w:r>
        <w:t xml:space="preserve">Some children with a disability may experience barriers disclosing an incident. For example, children with hearing or cognitive impairments may need support to help them explain the incident, including through sign language interpreters. Advice on </w:t>
      </w:r>
      <w:hyperlink r:id="rId15" w:history="1">
        <w:r>
          <w:rPr>
            <w:rStyle w:val="Hyperlink"/>
          </w:rPr>
          <w:t>communicating with people with a disability</w:t>
        </w:r>
      </w:hyperlink>
      <w:r>
        <w:rPr>
          <w:rStyle w:val="Hyperlink"/>
        </w:rPr>
        <w:t xml:space="preserve"> </w:t>
      </w:r>
      <w:r>
        <w:t>&lt;</w:t>
      </w:r>
      <w:r>
        <w:t>https://providers.dhhs.vic.gov.au/communicate-and-consult-people-disability</w:t>
      </w:r>
      <w:r>
        <w:t xml:space="preserve">&gt; </w:t>
      </w:r>
      <w:r>
        <w:t xml:space="preserve">can be found on the </w:t>
      </w:r>
      <w:r>
        <w:t xml:space="preserve">department’s </w:t>
      </w:r>
      <w:r>
        <w:t xml:space="preserve">website. </w:t>
      </w:r>
    </w:p>
    <w:p>
      <w:pPr>
        <w:pStyle w:val="Heading1"/>
      </w:pPr>
      <w:r>
        <w:t xml:space="preserve">What is child abuse? </w:t>
      </w:r>
    </w:p>
    <w:p>
      <w:pPr>
        <w:pStyle w:val="DHHSbody"/>
      </w:pPr>
      <w:r>
        <w:t xml:space="preserve">Child abuse: </w:t>
      </w:r>
    </w:p>
    <w:p>
      <w:pPr>
        <w:pStyle w:val="DHHSbullet1"/>
      </w:pPr>
      <w:r>
        <w:t xml:space="preserve">can include physical </w:t>
      </w:r>
      <w:r>
        <w:t>violence</w:t>
      </w:r>
      <w:r>
        <w:t xml:space="preserve">, sexual </w:t>
      </w:r>
      <w:r>
        <w:t>offences (including grooming)</w:t>
      </w:r>
      <w:r>
        <w:t xml:space="preserve">, </w:t>
      </w:r>
      <w:r>
        <w:t xml:space="preserve">serious </w:t>
      </w:r>
      <w:r>
        <w:t>emotional or psychological harm</w:t>
      </w:r>
      <w:r>
        <w:t xml:space="preserve"> and</w:t>
      </w:r>
      <w:r>
        <w:t xml:space="preserve"> </w:t>
      </w:r>
      <w:r>
        <w:t xml:space="preserve">serious </w:t>
      </w:r>
      <w:r>
        <w:t xml:space="preserve">neglect </w:t>
      </w:r>
    </w:p>
    <w:p>
      <w:pPr>
        <w:pStyle w:val="DHHSbullet1"/>
      </w:pPr>
      <w:r>
        <w:t xml:space="preserve">does not have to involve physical contact or force (e.g. child sexual abuse can include talking to a child in a sexually explicit way) </w:t>
      </w:r>
    </w:p>
    <w:p>
      <w:pPr>
        <w:pStyle w:val="DHHSbullet1"/>
      </w:pPr>
      <w:r>
        <w:t>can be committed by any member of the community, including someone within a child’s family or someone within the school setting</w:t>
      </w:r>
      <w:r>
        <w:t>.</w:t>
      </w:r>
    </w:p>
    <w:p>
      <w:pPr>
        <w:pStyle w:val="DHHSbody"/>
      </w:pPr>
      <w:r>
        <w:t xml:space="preserve">The trauma associated with child abuse can significantly impact upon the wellbeing and development of </w:t>
      </w:r>
      <w:r>
        <w:t>the</w:t>
      </w:r>
      <w:r>
        <w:t xml:space="preserve"> </w:t>
      </w:r>
      <w:r>
        <w:t xml:space="preserve">child. </w:t>
      </w:r>
      <w:r>
        <w:t xml:space="preserve">It </w:t>
      </w:r>
      <w:r>
        <w:t xml:space="preserve">is critical </w:t>
      </w:r>
      <w:r>
        <w:t xml:space="preserve">that </w:t>
      </w:r>
      <w:r>
        <w:t xml:space="preserve">there is an </w:t>
      </w:r>
      <w:r>
        <w:t>immediate</w:t>
      </w:r>
      <w:r>
        <w:t xml:space="preserve"> </w:t>
      </w:r>
      <w:r>
        <w:t xml:space="preserve">response </w:t>
      </w:r>
      <w:r>
        <w:t xml:space="preserve">to any </w:t>
      </w:r>
      <w:r>
        <w:t xml:space="preserve">incident, disclosure or </w:t>
      </w:r>
      <w:r>
        <w:t xml:space="preserve">suspected abuse. </w:t>
      </w:r>
    </w:p>
    <w:p>
      <w:pPr>
        <w:pStyle w:val="Heading1"/>
      </w:pPr>
      <w:r>
        <w:t xml:space="preserve">Adopt a risk management approach </w:t>
      </w:r>
    </w:p>
    <w:p>
      <w:pPr>
        <w:pStyle w:val="DHHSbody"/>
      </w:pPr>
      <w:r>
        <w:t xml:space="preserve">All organisations have a duty of care to protect the children they are involved with. </w:t>
      </w:r>
    </w:p>
    <w:p>
      <w:pPr>
        <w:pStyle w:val="DHHSbody"/>
      </w:pPr>
      <w:r>
        <w:t xml:space="preserve">Creating a child safe organisation begins with a clear, evidence-informed understanding of the potential risks to children in </w:t>
      </w:r>
      <w:r>
        <w:t>the service</w:t>
      </w:r>
      <w:r>
        <w:t xml:space="preserve"> setting. </w:t>
      </w:r>
    </w:p>
    <w:p>
      <w:pPr>
        <w:pStyle w:val="DHHSbody"/>
      </w:pPr>
      <w:r>
        <w:t>Taking a preventative approach means identifying potential risks</w:t>
      </w:r>
      <w:r>
        <w:t xml:space="preserve"> of child abuse</w:t>
      </w:r>
      <w:r>
        <w:t xml:space="preserve"> in your organisation</w:t>
      </w:r>
      <w:r>
        <w:t xml:space="preserve"> and </w:t>
      </w:r>
      <w:r>
        <w:t xml:space="preserve">reducing </w:t>
      </w:r>
      <w:r>
        <w:t xml:space="preserve">or removing </w:t>
      </w:r>
      <w:r>
        <w:t>those risks</w:t>
      </w:r>
      <w:r>
        <w:t>. Th</w:t>
      </w:r>
      <w:r>
        <w:t xml:space="preserve">is </w:t>
      </w:r>
      <w:r>
        <w:t xml:space="preserve">may </w:t>
      </w:r>
      <w:r>
        <w:t>range</w:t>
      </w:r>
      <w:r>
        <w:t xml:space="preserve"> from the impact of the physical environment and how it a</w:t>
      </w:r>
      <w:r>
        <w:softHyphen/>
        <w:t>ffects the supervision of staff</w:t>
      </w:r>
      <w:r>
        <w:softHyphen/>
        <w:t xml:space="preserve"> and children to </w:t>
      </w:r>
      <w:r>
        <w:t xml:space="preserve">how the organisation conducts </w:t>
      </w:r>
      <w:r>
        <w:t>staff</w:t>
      </w:r>
      <w:r>
        <w:softHyphen/>
        <w:t xml:space="preserve"> recruitment. </w:t>
      </w:r>
    </w:p>
    <w:p>
      <w:pPr>
        <w:pStyle w:val="DHHSbody"/>
      </w:pPr>
      <w:r>
        <w:t xml:space="preserve">Despite the implementation of best-practice approaches, risks always exist for children who access organisations. </w:t>
      </w:r>
      <w:r>
        <w:t xml:space="preserve">Organisations </w:t>
      </w:r>
      <w:r>
        <w:t>are in the best position to know where the</w:t>
      </w:r>
      <w:r>
        <w:t>ir</w:t>
      </w:r>
      <w:r>
        <w:t xml:space="preserve"> vulnerabilities and risks</w:t>
      </w:r>
      <w:r>
        <w:t xml:space="preserve"> for child abuse</w:t>
      </w:r>
      <w:r>
        <w:t xml:space="preserve"> are located</w:t>
      </w:r>
      <w:r>
        <w:t>, the</w:t>
      </w:r>
      <w:r>
        <w:t xml:space="preserve"> activities </w:t>
      </w:r>
      <w:r>
        <w:t xml:space="preserve">undertaken </w:t>
      </w:r>
      <w:r>
        <w:t xml:space="preserve">and how </w:t>
      </w:r>
      <w:r>
        <w:t xml:space="preserve">to </w:t>
      </w:r>
      <w:r>
        <w:t>plan to prevent them. By adopting a risk management approach</w:t>
      </w:r>
      <w:r>
        <w:t xml:space="preserve">, organisations can act </w:t>
      </w:r>
      <w:r>
        <w:t xml:space="preserve">in a preventative manner and can reduce the likelihood of risks becoming realised. </w:t>
      </w:r>
    </w:p>
    <w:p>
      <w:pPr>
        <w:pStyle w:val="Heading1"/>
      </w:pPr>
      <w:r>
        <w:t xml:space="preserve">Develop a risk management plan </w:t>
      </w:r>
    </w:p>
    <w:p>
      <w:pPr>
        <w:pStyle w:val="DHHSbody"/>
      </w:pPr>
      <w:r>
        <w:t>To reduce the likelihood of harm</w:t>
      </w:r>
      <w:r>
        <w:t xml:space="preserve"> or abuse to children</w:t>
      </w:r>
      <w:r>
        <w:t xml:space="preserve">, </w:t>
      </w:r>
      <w:r>
        <w:t>consider</w:t>
      </w:r>
      <w:r>
        <w:t xml:space="preserve"> and </w:t>
      </w:r>
      <w:r>
        <w:t>identify</w:t>
      </w:r>
      <w:r>
        <w:t xml:space="preserve"> </w:t>
      </w:r>
      <w:r>
        <w:t>your</w:t>
      </w:r>
      <w:r>
        <w:t xml:space="preserve"> </w:t>
      </w:r>
      <w:r>
        <w:t xml:space="preserve">organisation’s </w:t>
      </w:r>
      <w:r>
        <w:t>risks. This includes the areas of risk to child safety within your organisation as a whole</w:t>
      </w:r>
      <w:r>
        <w:t>,</w:t>
      </w:r>
      <w:r>
        <w:t xml:space="preserve"> or for any specific </w:t>
      </w:r>
      <w:r>
        <w:t xml:space="preserve">program or </w:t>
      </w:r>
      <w:r>
        <w:t>activity. It is important to involve children in this process, as they may have di</w:t>
      </w:r>
      <w:r>
        <w:softHyphen/>
        <w:t>fferent idea</w:t>
      </w:r>
      <w:r>
        <w:t>s</w:t>
      </w:r>
      <w:r>
        <w:t xml:space="preserve"> about what makes them feel unsafe.</w:t>
      </w:r>
    </w:p>
    <w:p>
      <w:pPr>
        <w:pStyle w:val="Heading1"/>
      </w:pPr>
      <w:r>
        <w:t>Legal responsibilities</w:t>
      </w:r>
    </w:p>
    <w:p>
      <w:pPr>
        <w:pStyle w:val="DHHSbody"/>
      </w:pPr>
      <w:r>
        <w:t xml:space="preserve">Although </w:t>
      </w:r>
      <w:r>
        <w:t xml:space="preserve">the Child Safe Standards focus on </w:t>
      </w:r>
      <w:r>
        <w:t xml:space="preserve">the obligations of </w:t>
      </w:r>
      <w:r>
        <w:t>organisations, adults</w:t>
      </w:r>
      <w:r>
        <w:t xml:space="preserve"> also</w:t>
      </w:r>
      <w:r>
        <w:t xml:space="preserve"> have</w:t>
      </w:r>
      <w:r>
        <w:t xml:space="preserve"> several</w:t>
      </w:r>
      <w:r>
        <w:t xml:space="preserve"> </w:t>
      </w:r>
      <w:r>
        <w:t xml:space="preserve">obligations to report allegations and suspicions of abuse against a child, whether </w:t>
      </w:r>
      <w:r>
        <w:t>or not that child is involved with</w:t>
      </w:r>
      <w:r>
        <w:t xml:space="preserve"> their organisation</w:t>
      </w:r>
      <w:r>
        <w:t>.</w:t>
      </w:r>
    </w:p>
    <w:p>
      <w:pPr>
        <w:pStyle w:val="Heading2"/>
      </w:pPr>
      <w:r>
        <w:t>Failure to disclose</w:t>
      </w:r>
    </w:p>
    <w:p>
      <w:pPr>
        <w:pStyle w:val="DHHSbody"/>
      </w:pPr>
      <w:r>
        <w:t xml:space="preserve">All adults (aged 18 years or over) who hold a reasonable belief that a sexual offence has been committed in Victoria by an adult against a child under 16 </w:t>
      </w:r>
      <w:r>
        <w:t xml:space="preserve">years </w:t>
      </w:r>
      <w:r>
        <w:t xml:space="preserve">must disclose that information to Victoria Police as soon as possible. Failing to disclose this information is a criminal offence, unless the adult who </w:t>
      </w:r>
      <w:r>
        <w:t>holds the belief</w:t>
      </w:r>
      <w:r>
        <w:t xml:space="preserve"> has a reasonable excuse not to disclose</w:t>
      </w:r>
      <w:r>
        <w:t xml:space="preserve"> the information</w:t>
      </w:r>
      <w:r>
        <w:t xml:space="preserve">, such as they fear for their safety or that of another person. </w:t>
      </w:r>
    </w:p>
    <w:p>
      <w:pPr>
        <w:pStyle w:val="DHHSbody"/>
      </w:pPr>
      <w:r>
        <w:t xml:space="preserve">More information about </w:t>
      </w:r>
      <w:hyperlink r:id="rId16" w:history="1">
        <w:r>
          <w:rPr>
            <w:rStyle w:val="Hyperlink"/>
          </w:rPr>
          <w:t>failure to disclose</w:t>
        </w:r>
      </w:hyperlink>
      <w:r>
        <w:t xml:space="preserve"> &lt;</w:t>
      </w:r>
      <w:r>
        <w:t>https://www.justice.vic.gov.au/safer-communities/protecting-children-and-families/failure-to-disclose-offence</w:t>
      </w:r>
      <w:r>
        <w:t>&gt; is available on the Department of Justice and Regulation</w:t>
      </w:r>
      <w:r>
        <w:t>’s</w:t>
      </w:r>
      <w:r>
        <w:t xml:space="preserve"> website.</w:t>
      </w:r>
    </w:p>
    <w:p>
      <w:pPr>
        <w:pStyle w:val="DHHSbody"/>
      </w:pPr>
      <w:r>
        <w:t xml:space="preserve">While </w:t>
      </w:r>
      <w:r>
        <w:t xml:space="preserve">the offence of </w:t>
      </w:r>
      <w:r>
        <w:t>failure to disclose</w:t>
      </w:r>
      <w:r>
        <w:t xml:space="preserve"> only covers child sexual abuse, all adults should report other forms of child abuse to authorities. Failure to disclose legislation does not change mandatory reporting responsibilities.</w:t>
      </w:r>
    </w:p>
    <w:p>
      <w:pPr>
        <w:pStyle w:val="Heading2"/>
      </w:pPr>
      <w:r>
        <w:t>Mandatory reporting</w:t>
      </w:r>
    </w:p>
    <w:p>
      <w:pPr>
        <w:pStyle w:val="DHHSbody"/>
      </w:pPr>
      <w:r>
        <w:t>Mandatory reporters</w:t>
      </w:r>
      <w:r>
        <w:t xml:space="preserve"> (doctors, nurses, midwives, teachers </w:t>
      </w:r>
      <w:r>
        <w:t>-</w:t>
      </w:r>
      <w:r>
        <w:t>including early childhood teachers</w:t>
      </w:r>
      <w:r>
        <w:t>-</w:t>
      </w:r>
      <w:r>
        <w:t>, principals and police</w:t>
      </w:r>
      <w:r>
        <w:t xml:space="preserve"> officers</w:t>
      </w:r>
      <w:r>
        <w:t xml:space="preserve">) must report to Child Protection if they believe on reasonable grounds that a child is in need of protection from physical injury or sexual abuse. </w:t>
      </w:r>
      <w:r>
        <w:t xml:space="preserve">More information about </w:t>
      </w:r>
      <w:hyperlink r:id="rId17" w:history="1">
        <w:r>
          <w:rPr>
            <w:rStyle w:val="Hyperlink"/>
          </w:rPr>
          <w:t>mandatory reporting</w:t>
        </w:r>
      </w:hyperlink>
      <w:r>
        <w:t xml:space="preserve"> </w:t>
      </w:r>
      <w:r>
        <w:t>&lt;www.cpmanual.</w:t>
      </w:r>
      <w:r>
        <w:t xml:space="preserve"> </w:t>
      </w:r>
      <w:r>
        <w:t>vic.gov.au/advice-and-protocols/advice/intake/mandatory-reporting&gt;</w:t>
      </w:r>
      <w:r>
        <w:t xml:space="preserve"> </w:t>
      </w:r>
      <w:r>
        <w:t>is available in the</w:t>
      </w:r>
      <w:r>
        <w:t xml:space="preserve"> department’s</w:t>
      </w:r>
      <w:r>
        <w:t xml:space="preserve"> </w:t>
      </w:r>
      <w:r>
        <w:t xml:space="preserve">Child </w:t>
      </w:r>
      <w:r>
        <w:t>P</w:t>
      </w:r>
      <w:r>
        <w:t xml:space="preserve">rotection </w:t>
      </w:r>
      <w:r>
        <w:t>M</w:t>
      </w:r>
      <w:r>
        <w:t>anual</w:t>
      </w:r>
      <w:r>
        <w:t>.</w:t>
      </w:r>
    </w:p>
    <w:p>
      <w:pPr>
        <w:pStyle w:val="DHHSbody"/>
        <w:spacing w:afterLines="120" w:after="288"/>
      </w:pPr>
      <w:r>
        <w:t xml:space="preserve">Please refer to the </w:t>
      </w:r>
      <w:r>
        <w:t xml:space="preserve">department’s </w:t>
      </w:r>
      <w:r>
        <w:t xml:space="preserve">website for information about </w:t>
      </w:r>
      <w:hyperlink r:id="rId18" w:history="1">
        <w:r>
          <w:rPr>
            <w:rStyle w:val="Hyperlink"/>
          </w:rPr>
          <w:t>how to make a report to child protection</w:t>
        </w:r>
      </w:hyperlink>
      <w:r>
        <w:t xml:space="preserve"> &lt;</w:t>
      </w:r>
      <w:r>
        <w:t>https://providers.dhhs.vic.gov.au/making-report-child-protection</w:t>
      </w:r>
      <w:r>
        <w:t>&gt;.</w:t>
      </w:r>
    </w:p>
    <w:p>
      <w:pPr>
        <w:pStyle w:val="Heading2"/>
      </w:pPr>
      <w:r>
        <w:t xml:space="preserve">Failure to </w:t>
      </w:r>
      <w:r>
        <w:t>protect</w:t>
      </w:r>
    </w:p>
    <w:p>
      <w:pPr>
        <w:pStyle w:val="DHHSbody"/>
      </w:pPr>
      <w:r>
        <w:t xml:space="preserve">The </w:t>
      </w:r>
      <w:r>
        <w:t xml:space="preserve">offence of </w:t>
      </w:r>
      <w:r>
        <w:t>failure to protect</w:t>
      </w:r>
      <w:r>
        <w:t xml:space="preserve"> applies where there is a substantial risk that a child under the age of 16 </w:t>
      </w:r>
      <w:r>
        <w:t xml:space="preserve">years </w:t>
      </w:r>
      <w:r>
        <w:t xml:space="preserve">under the care, supervision or authority of a relevant organisation will become a victim of a sexual offence committed by an adult associated with that organisation. </w:t>
      </w:r>
      <w:r>
        <w:t xml:space="preserve">A relevant organisation </w:t>
      </w:r>
      <w:r>
        <w:t xml:space="preserve">is </w:t>
      </w:r>
      <w:r>
        <w:t xml:space="preserve">an organisation that exercises care, supervision or authority over children, whether as its primary function or otherwise. </w:t>
      </w:r>
      <w:r>
        <w:t xml:space="preserve">A person in a position of authority in the organisation will commit the offence if they know of the risk of abuse and have the power or responsibility to reduce or remove the risk, but negligently failed to do so. </w:t>
      </w:r>
    </w:p>
    <w:p>
      <w:pPr>
        <w:pStyle w:val="DHHSbody"/>
        <w:rPr>
          <w:b/>
        </w:rPr>
      </w:pPr>
      <w:r>
        <w:t xml:space="preserve">Further information about </w:t>
      </w:r>
      <w:hyperlink r:id="rId19" w:history="1">
        <w:r>
          <w:rPr>
            <w:rStyle w:val="Hyperlink"/>
          </w:rPr>
          <w:t>failure to protect</w:t>
        </w:r>
      </w:hyperlink>
      <w:r>
        <w:rPr>
          <w:rStyle w:val="Hyperlink"/>
        </w:rPr>
        <w:t xml:space="preserve"> </w:t>
      </w:r>
      <w:r>
        <w:t>&lt;</w:t>
      </w:r>
      <w:r>
        <w:t>https://www.justice.vic.gov.au/safer-communities/protecting-children-and-families/failure-to-protect-a-new-criminal-offence-to</w:t>
      </w:r>
      <w:r>
        <w:t xml:space="preserve">&gt; can be found on the Department of Justice and Regulation’s website, and </w:t>
      </w:r>
      <w:r>
        <w:t>in</w:t>
      </w:r>
      <w:r>
        <w:t xml:space="preserve"> the </w:t>
      </w:r>
      <w:hyperlink r:id="rId20" w:history="1">
        <w:r>
          <w:rPr>
            <w:rStyle w:val="Hyperlink"/>
          </w:rPr>
          <w:t>Failure to protect offence factsheet</w:t>
        </w:r>
      </w:hyperlink>
      <w:r>
        <w:t xml:space="preserve"> &lt;</w:t>
      </w:r>
      <w:r>
        <w:t xml:space="preserve"> </w:t>
      </w:r>
      <w:r>
        <w:t xml:space="preserve">https://providers.dhhs.vic.gov.au/failure-protect-offence-factsheet-word </w:t>
      </w:r>
      <w:r>
        <w:t xml:space="preserve">&gt; on the department’s website. </w:t>
      </w:r>
    </w:p>
    <w:p>
      <w:pPr>
        <w:pStyle w:val="Heading2"/>
      </w:pPr>
      <w:r>
        <w:t xml:space="preserve">Reportable </w:t>
      </w:r>
      <w:r>
        <w:t>c</w:t>
      </w:r>
      <w:r>
        <w:t xml:space="preserve">onduct </w:t>
      </w:r>
      <w:r>
        <w:t>s</w:t>
      </w:r>
      <w:r>
        <w:t>cheme</w:t>
      </w:r>
    </w:p>
    <w:p>
      <w:pPr>
        <w:pStyle w:val="DHHSbody"/>
      </w:pPr>
      <w:r>
        <w:t xml:space="preserve">The </w:t>
      </w:r>
      <w:r>
        <w:t>reportable conduct scheme</w:t>
      </w:r>
      <w:r>
        <w:rPr>
          <w:b/>
        </w:rPr>
        <w:t xml:space="preserve"> </w:t>
      </w:r>
      <w:r>
        <w:t xml:space="preserve">requires </w:t>
      </w:r>
      <w:hyperlink r:id="rId21" w:anchor="TOC-5" w:history="1">
        <w:r>
          <w:rPr>
            <w:rStyle w:val="Hyperlink"/>
          </w:rPr>
          <w:t>in scope organisations</w:t>
        </w:r>
      </w:hyperlink>
      <w:r>
        <w:t xml:space="preserve"> </w:t>
      </w:r>
      <w:r>
        <w:t>&lt;</w:t>
      </w:r>
      <w:r>
        <w:t>https://ccyp.vic.gov.au/reportable-conduct-scheme/for-organisations/#TOC-5</w:t>
      </w:r>
      <w:r>
        <w:t xml:space="preserve">&gt; </w:t>
      </w:r>
      <w:r>
        <w:t xml:space="preserve">to report </w:t>
      </w:r>
      <w:r>
        <w:t xml:space="preserve">any </w:t>
      </w:r>
      <w:r>
        <w:t xml:space="preserve">allegations </w:t>
      </w:r>
      <w:r>
        <w:t xml:space="preserve">of </w:t>
      </w:r>
      <w:r>
        <w:t>sexual</w:t>
      </w:r>
      <w:r>
        <w:t xml:space="preserve"> and physical abuse, sexual misconduct, significant emotional or psychological harm, or significant neglect</w:t>
      </w:r>
      <w:r>
        <w:t xml:space="preserve"> by an employee</w:t>
      </w:r>
      <w:r>
        <w:t xml:space="preserve"> </w:t>
      </w:r>
      <w:r>
        <w:t>towards a child in their care</w:t>
      </w:r>
      <w:r>
        <w:t>.</w:t>
      </w:r>
      <w:r>
        <w:t xml:space="preserve"> </w:t>
      </w:r>
    </w:p>
    <w:p>
      <w:pPr>
        <w:pStyle w:val="DHHSbody"/>
      </w:pPr>
      <w:r>
        <w:t xml:space="preserve">In scope organisations must ensure </w:t>
      </w:r>
      <w:r>
        <w:t xml:space="preserve">that </w:t>
      </w:r>
      <w:r>
        <w:t xml:space="preserve">the </w:t>
      </w:r>
      <w:hyperlink r:id="rId22" w:history="1">
        <w:r>
          <w:rPr>
            <w:rStyle w:val="Hyperlink"/>
          </w:rPr>
          <w:t>head of the organisation</w:t>
        </w:r>
      </w:hyperlink>
      <w:r>
        <w:t xml:space="preserve"> </w:t>
      </w:r>
      <w:r>
        <w:t>&lt;</w:t>
      </w:r>
      <w:r>
        <w:t>https://ccyp.vic.gov.au/assets/resources/Responsibilities-of-the-head-of-an-organisation.docx</w:t>
      </w:r>
      <w:r>
        <w:t xml:space="preserve">&gt; </w:t>
      </w:r>
      <w:r>
        <w:t>is made aware of the allegation and that there are procedures for appropriately responding to and investigating the allegation. Notifications of reportable conduct must be made to the Commission for Children and Young People</w:t>
      </w:r>
      <w:r>
        <w:t>:</w:t>
      </w:r>
      <w:r>
        <w:t xml:space="preserve"> </w:t>
      </w:r>
    </w:p>
    <w:p>
      <w:pPr>
        <w:pStyle w:val="DHHSbody"/>
        <w:rPr>
          <w:rStyle w:val="Hyperlink"/>
          <w:rFonts w:cs="Arial"/>
        </w:rPr>
      </w:pPr>
      <w:r>
        <w:t>The reportable conduct scheme commence</w:t>
      </w:r>
      <w:r>
        <w:t>d</w:t>
      </w:r>
      <w:r>
        <w:t xml:space="preserve"> on 1 Jul</w:t>
      </w:r>
      <w:r>
        <w:t>y</w:t>
      </w:r>
      <w:r>
        <w:t xml:space="preserve"> 2017 and is being implemented in three phases. Phase 1 commenced on 1 July 2017 and focused on organisations that operate schools and provide government services. Phase 2 commenced on 1 January 2018 and includes religious bodies, boarding schools, school camps and health and disability services. Phase 3 will commence on 1 January 2019 and includes kindergartens, after hour care services, children’s services and certain art centres, libraries, museums, zoos, parks and gardens. </w:t>
      </w:r>
      <w:r>
        <w:rPr>
          <w:rFonts w:cs="Arial"/>
        </w:rPr>
        <w:t>F</w:t>
      </w:r>
      <w:r>
        <w:rPr>
          <w:rFonts w:cs="Arial"/>
        </w:rPr>
        <w:t xml:space="preserve">urther information about the </w:t>
      </w:r>
      <w:hyperlink r:id="rId23" w:history="1">
        <w:r>
          <w:rPr>
            <w:rStyle w:val="Hyperlink"/>
            <w:rFonts w:cs="Arial"/>
          </w:rPr>
          <w:t>reportable conduct scheme</w:t>
        </w:r>
      </w:hyperlink>
      <w:r>
        <w:rPr>
          <w:rStyle w:val="Hyperlink"/>
          <w:rFonts w:cs="Arial"/>
        </w:rPr>
        <w:t xml:space="preserve"> </w:t>
      </w:r>
      <w:r>
        <w:rPr>
          <w:rFonts w:cs="Arial"/>
        </w:rPr>
        <w:t>&lt;</w:t>
      </w:r>
      <w:r>
        <w:rPr>
          <w:rFonts w:cs="Arial"/>
        </w:rPr>
        <w:t>https://providers.dhhs.vic.gov.au/reportable-conduct-scheme</w:t>
      </w:r>
      <w:r>
        <w:rPr>
          <w:rFonts w:cs="Arial"/>
        </w:rPr>
        <w:t xml:space="preserve">&gt; </w:t>
      </w:r>
      <w:r>
        <w:rPr>
          <w:rFonts w:cs="Arial"/>
        </w:rPr>
        <w:t xml:space="preserve">can be found on the </w:t>
      </w:r>
      <w:r>
        <w:rPr>
          <w:rFonts w:cs="Arial"/>
        </w:rPr>
        <w:t>department’s website</w:t>
      </w:r>
      <w:r>
        <w:rPr>
          <w:rFonts w:cs="Arial"/>
        </w:rPr>
        <w:t xml:space="preserve"> </w:t>
      </w:r>
      <w:r>
        <w:rPr>
          <w:rFonts w:cs="Arial"/>
        </w:rPr>
        <w:t xml:space="preserve">and the </w:t>
      </w:r>
      <w:hyperlink r:id="rId24" w:history="1">
        <w:r>
          <w:rPr>
            <w:rStyle w:val="Hyperlink"/>
            <w:rFonts w:cs="Arial"/>
          </w:rPr>
          <w:t>Reportable Conduct Scheme page</w:t>
        </w:r>
      </w:hyperlink>
      <w:r>
        <w:rPr>
          <w:rFonts w:cs="Arial"/>
        </w:rPr>
        <w:t xml:space="preserve"> of the Commission for Children and Young People’s website. </w:t>
      </w:r>
    </w:p>
    <w:p>
      <w:pPr>
        <w:pStyle w:val="Heading2"/>
      </w:pPr>
      <w:r>
        <w:t xml:space="preserve">Duty of </w:t>
      </w:r>
      <w:r>
        <w:t>c</w:t>
      </w:r>
      <w:r>
        <w:t>are</w:t>
      </w:r>
    </w:p>
    <w:p>
      <w:pPr>
        <w:pStyle w:val="DHHSbody"/>
        <w:rPr>
          <w:rFonts w:cs="Arial"/>
          <w:shd w:val="clear" w:color="auto" w:fill="FFFFFF"/>
        </w:rPr>
      </w:pPr>
      <w:r>
        <w:rPr>
          <w:rFonts w:cs="Arial"/>
          <w:shd w:val="clear" w:color="auto" w:fill="FFFFFF"/>
        </w:rPr>
        <w:t xml:space="preserve">On 1 July 2017, </w:t>
      </w:r>
      <w:r>
        <w:rPr>
          <w:rFonts w:cs="Arial"/>
          <w:shd w:val="clear" w:color="auto" w:fill="FFFFFF"/>
        </w:rPr>
        <w:t xml:space="preserve">organisations </w:t>
      </w:r>
      <w:r>
        <w:t>that exercise</w:t>
      </w:r>
      <w:r>
        <w:t xml:space="preserve"> care, supervision or authority over children</w:t>
      </w:r>
      <w:r>
        <w:rPr>
          <w:rFonts w:cs="Arial"/>
          <w:shd w:val="clear" w:color="auto" w:fill="FFFFFF"/>
        </w:rPr>
        <w:t xml:space="preserve"> </w:t>
      </w:r>
      <w:r>
        <w:rPr>
          <w:rFonts w:cs="Arial"/>
          <w:shd w:val="clear" w:color="auto" w:fill="FFFFFF"/>
        </w:rPr>
        <w:t xml:space="preserve">became subject to </w:t>
      </w:r>
      <w:r>
        <w:rPr>
          <w:rFonts w:cs="Arial"/>
          <w:shd w:val="clear" w:color="auto" w:fill="FFFFFF"/>
        </w:rPr>
        <w:t xml:space="preserve">a </w:t>
      </w:r>
      <w:r>
        <w:rPr>
          <w:rFonts w:cs="Arial"/>
          <w:shd w:val="clear" w:color="auto" w:fill="FFFFFF"/>
        </w:rPr>
        <w:t>new statutory</w:t>
      </w:r>
      <w:r>
        <w:rPr>
          <w:rFonts w:cs="Arial"/>
          <w:b/>
          <w:shd w:val="clear" w:color="auto" w:fill="FFFFFF"/>
        </w:rPr>
        <w:t xml:space="preserve"> </w:t>
      </w:r>
      <w:r>
        <w:rPr>
          <w:rFonts w:cs="Arial"/>
          <w:shd w:val="clear" w:color="auto" w:fill="FFFFFF"/>
        </w:rPr>
        <w:t>duty of care</w:t>
      </w:r>
      <w:r>
        <w:rPr>
          <w:rFonts w:cs="Arial"/>
          <w:b/>
          <w:shd w:val="clear" w:color="auto" w:fill="FFFFFF"/>
        </w:rPr>
        <w:t xml:space="preserve"> </w:t>
      </w:r>
      <w:r>
        <w:rPr>
          <w:rFonts w:cs="Arial"/>
          <w:shd w:val="clear" w:color="auto" w:fill="FFFFFF"/>
        </w:rPr>
        <w:t>to</w:t>
      </w:r>
      <w:r>
        <w:rPr>
          <w:rFonts w:cs="Arial"/>
          <w:b/>
          <w:shd w:val="clear" w:color="auto" w:fill="FFFFFF"/>
        </w:rPr>
        <w:t xml:space="preserve"> </w:t>
      </w:r>
      <w:r>
        <w:rPr>
          <w:rFonts w:cs="Arial"/>
          <w:shd w:val="clear" w:color="auto" w:fill="FFFFFF"/>
        </w:rPr>
        <w:t xml:space="preserve">take </w:t>
      </w:r>
      <w:r>
        <w:rPr>
          <w:rFonts w:cs="Arial"/>
          <w:shd w:val="clear" w:color="auto" w:fill="FFFFFF"/>
        </w:rPr>
        <w:t>‘</w:t>
      </w:r>
      <w:r>
        <w:rPr>
          <w:rFonts w:cs="Arial"/>
          <w:shd w:val="clear" w:color="auto" w:fill="FFFFFF"/>
        </w:rPr>
        <w:t xml:space="preserve">reasonable </w:t>
      </w:r>
      <w:r>
        <w:t>precautions</w:t>
      </w:r>
      <w:r>
        <w:t>’</w:t>
      </w:r>
      <w:r>
        <w:rPr>
          <w:rFonts w:cs="Arial"/>
          <w:shd w:val="clear" w:color="auto" w:fill="FFFFFF"/>
        </w:rPr>
        <w:t xml:space="preserve"> to prevent the abuse of </w:t>
      </w:r>
      <w:r>
        <w:rPr>
          <w:rFonts w:cs="Arial"/>
          <w:shd w:val="clear" w:color="auto" w:fill="FFFFFF"/>
        </w:rPr>
        <w:t xml:space="preserve">children committed </w:t>
      </w:r>
      <w:r>
        <w:rPr>
          <w:rFonts w:cs="Arial"/>
          <w:shd w:val="clear" w:color="auto" w:fill="FFFFFF"/>
        </w:rPr>
        <w:t>by individual</w:t>
      </w:r>
      <w:r>
        <w:rPr>
          <w:rFonts w:cs="Arial"/>
          <w:shd w:val="clear" w:color="auto" w:fill="FFFFFF"/>
        </w:rPr>
        <w:t>s</w:t>
      </w:r>
      <w:r>
        <w:rPr>
          <w:rFonts w:cs="Arial"/>
          <w:shd w:val="clear" w:color="auto" w:fill="FFFFFF"/>
        </w:rPr>
        <w:t xml:space="preserve"> associated with the organisation. If </w:t>
      </w:r>
      <w:r>
        <w:rPr>
          <w:rFonts w:cs="Arial"/>
          <w:shd w:val="clear" w:color="auto" w:fill="FFFFFF"/>
        </w:rPr>
        <w:t>a child is abused by an induvial associated with the organisation</w:t>
      </w:r>
      <w:r>
        <w:rPr>
          <w:rFonts w:cs="Arial"/>
          <w:shd w:val="clear" w:color="auto" w:fill="FFFFFF"/>
        </w:rPr>
        <w:t xml:space="preserve">, the organisation is presumed to have breached </w:t>
      </w:r>
      <w:r>
        <w:rPr>
          <w:rFonts w:cs="Arial"/>
          <w:shd w:val="clear" w:color="auto" w:fill="FFFFFF"/>
        </w:rPr>
        <w:t xml:space="preserve">its </w:t>
      </w:r>
      <w:r>
        <w:rPr>
          <w:rFonts w:cs="Arial"/>
          <w:shd w:val="clear" w:color="auto" w:fill="FFFFFF"/>
        </w:rPr>
        <w:t>duty</w:t>
      </w:r>
      <w:r>
        <w:rPr>
          <w:rFonts w:cs="Arial"/>
          <w:shd w:val="clear" w:color="auto" w:fill="FFFFFF"/>
        </w:rPr>
        <w:t xml:space="preserve"> unless it </w:t>
      </w:r>
      <w:r>
        <w:rPr>
          <w:rFonts w:cs="Arial"/>
          <w:shd w:val="clear" w:color="auto" w:fill="FFFFFF"/>
        </w:rPr>
        <w:t xml:space="preserve">can </w:t>
      </w:r>
      <w:r>
        <w:rPr>
          <w:rFonts w:cs="Arial"/>
          <w:shd w:val="clear" w:color="auto" w:fill="FFFFFF"/>
        </w:rPr>
        <w:t>prove it took ‘reasonable precautions’ to prevent the abuse</w:t>
      </w:r>
      <w:r>
        <w:rPr>
          <w:rFonts w:cs="Arial"/>
          <w:shd w:val="clear" w:color="auto" w:fill="FFFFFF"/>
        </w:rPr>
        <w:t xml:space="preserve"> in question</w:t>
      </w:r>
      <w:r>
        <w:rPr>
          <w:rFonts w:cs="Arial"/>
          <w:shd w:val="clear" w:color="auto" w:fill="FFFFFF"/>
        </w:rPr>
        <w:t>.</w:t>
      </w:r>
    </w:p>
    <w:p>
      <w:pPr>
        <w:pStyle w:val="DHHSbody"/>
        <w:rPr>
          <w:rStyle w:val="Hyperlink"/>
          <w:rFonts w:cs="Arial"/>
        </w:rPr>
      </w:pPr>
      <w:r>
        <w:rPr>
          <w:rFonts w:cs="Arial"/>
        </w:rPr>
        <w:t xml:space="preserve">Further information about the </w:t>
      </w:r>
      <w:r>
        <w:rPr>
          <w:rFonts w:cs="Arial"/>
        </w:rPr>
        <w:t xml:space="preserve">new </w:t>
      </w:r>
      <w:hyperlink r:id="rId25" w:history="1">
        <w:r>
          <w:rPr>
            <w:rStyle w:val="Hyperlink"/>
            <w:rFonts w:cs="Arial"/>
          </w:rPr>
          <w:t xml:space="preserve">organisational </w:t>
        </w:r>
        <w:r>
          <w:rPr>
            <w:rStyle w:val="Hyperlink"/>
            <w:rFonts w:cs="Arial"/>
          </w:rPr>
          <w:t>duty of care</w:t>
        </w:r>
      </w:hyperlink>
      <w:r>
        <w:rPr>
          <w:rFonts w:cs="Arial"/>
        </w:rPr>
        <w:t xml:space="preserve"> &lt;</w:t>
      </w:r>
      <w:r>
        <w:rPr>
          <w:rFonts w:cs="Arial"/>
        </w:rPr>
        <w:t xml:space="preserve"> </w:t>
      </w:r>
      <w:r>
        <w:rPr>
          <w:rFonts w:cs="Arial"/>
        </w:rPr>
        <w:t>https://www.justice.vic.gov.au/safer-communities/protecting-children-and-families/betrayal-of-trust-fact-sheet-the-new</w:t>
      </w:r>
      <w:r>
        <w:rPr>
          <w:rFonts w:cs="Arial"/>
        </w:rPr>
        <w:t xml:space="preserve">&gt; </w:t>
      </w:r>
      <w:r>
        <w:rPr>
          <w:rFonts w:cs="Arial"/>
        </w:rPr>
        <w:t xml:space="preserve"> </w:t>
      </w:r>
      <w:r>
        <w:rPr>
          <w:rFonts w:cs="Arial"/>
        </w:rPr>
        <w:t>can be found on the Department of Justice and Regulation’s website.</w:t>
      </w:r>
      <w:r>
        <w:rPr>
          <w:rFonts w:cs="Arial"/>
        </w:rPr>
        <w:t xml:space="preserve"> </w:t>
      </w:r>
    </w:p>
    <w:p>
      <w:pPr>
        <w:pStyle w:val="Heading1"/>
      </w:pPr>
      <w:r>
        <w:t xml:space="preserve">Further information </w:t>
      </w:r>
    </w:p>
    <w:p>
      <w:pPr>
        <w:pStyle w:val="DHHSbody"/>
      </w:pPr>
      <w:r>
        <w:t xml:space="preserve">Further information about the </w:t>
      </w:r>
      <w:hyperlink r:id="rId26" w:history="1">
        <w:r>
          <w:rPr>
            <w:rStyle w:val="Hyperlink"/>
          </w:rPr>
          <w:t>Child Safe Standards</w:t>
        </w:r>
      </w:hyperlink>
      <w:r>
        <w:t xml:space="preserve"> &lt;https://providers.dhhs.vic.gov.au/ child-safe-standards&gt; can be found on the Department of Health and Human Services (the department) website. This includes additional resources that have been designed for organisations that are funded and/or regulated by the department. In particular, an </w:t>
      </w:r>
      <w:hyperlink r:id="rId27" w:history="1">
        <w:r>
          <w:rPr>
            <w:rStyle w:val="Hyperlink"/>
          </w:rPr>
          <w:t>overview of the Victoria Child Safe Standards</w:t>
        </w:r>
      </w:hyperlink>
      <w:r>
        <w:t xml:space="preserve"> &lt;https://providers.dhhs.vic.gov.au/overview-victorian-child-safe-standards-word&gt; has information to help organisations to understand the requirements of each of the Child Safe Standards.</w:t>
      </w:r>
    </w:p>
    <w:p>
      <w:pPr>
        <w:pStyle w:val="DHHSbody"/>
      </w:pPr>
      <w:r>
        <w:t xml:space="preserve">All organisations </w:t>
      </w:r>
      <w:r>
        <w:t>may</w:t>
      </w:r>
      <w:r>
        <w:t xml:space="preserve"> also refer to the</w:t>
      </w:r>
      <w:r>
        <w:t xml:space="preserve"> information and resources available </w:t>
      </w:r>
      <w:r>
        <w:t xml:space="preserve">on the </w:t>
      </w:r>
      <w:hyperlink r:id="rId28" w:history="1">
        <w:r>
          <w:rPr>
            <w:rStyle w:val="Hyperlink"/>
          </w:rPr>
          <w:t>Child Safety page</w:t>
        </w:r>
      </w:hyperlink>
      <w:r>
        <w:t xml:space="preserve"> &lt;https://ccyp.vic.gov.au/child-safety/&gt; on the Commission for Children and Young People’s website.</w:t>
      </w:r>
    </w:p>
    <w:p>
      <w:pPr>
        <w:pStyle w:val="Heading1"/>
      </w:pPr>
      <w:r>
        <w:t>Disclaimer</w:t>
      </w:r>
    </w:p>
    <w:p>
      <w:pPr>
        <w:pStyle w:val="DHHSbody"/>
      </w:pPr>
      <w:r>
        <w:t xml:space="preserve">This </w:t>
      </w:r>
      <w:r>
        <w:t>resource</w:t>
      </w:r>
      <w:r>
        <w:t xml:space="preserve"> </w:t>
      </w:r>
      <w:r>
        <w:t>provides general guidance only on the Child Safe Standards. The department does not guarantee that the examples provided in this document are sufficient for the purposes of an organisation’s compliance with the Child Safe Standards.</w:t>
      </w:r>
    </w:p>
    <w:tbl>
      <w:tblPr>
        <w:tblW w:w="5000" w:type="pct"/>
        <w:tblInd w:w="113" w:type="dxa"/>
        <w:tblCellMar>
          <w:top w:w="113" w:type="dxa"/>
          <w:bottom w:w="57" w:type="dxa"/>
        </w:tblCellMar>
        <w:tblLook w:val="00A0" w:firstRow="1" w:lastRow="0" w:firstColumn="1" w:lastColumn="0" w:noHBand="0" w:noVBand="0"/>
      </w:tblPr>
      <w:tblGrid>
        <w:gridCol w:w="10420"/>
      </w:tblGrid>
      <w:tr>
        <w:trPr>
          <w:cantSplit/>
        </w:trPr>
        <w:tc>
          <w:tcPr>
            <w:tcW w:w="5000" w:type="pct"/>
            <w:tcBorders>
              <w:top w:val="single" w:sz="4" w:space="0" w:color="auto"/>
              <w:left w:val="single" w:sz="4" w:space="0" w:color="auto"/>
              <w:bottom w:val="single" w:sz="4" w:space="0" w:color="auto"/>
              <w:right w:val="single" w:sz="4" w:space="0" w:color="auto"/>
            </w:tcBorders>
            <w:vAlign w:val="bottom"/>
          </w:tcPr>
          <w:p>
            <w:pPr>
              <w:pStyle w:val="DHHSaccessibilitypara"/>
            </w:pPr>
            <w:r>
              <w:t>To receive this publication in an accessible format</w:t>
            </w:r>
            <w:r>
              <w:t xml:space="preserve">, </w:t>
            </w:r>
            <w:r>
              <w:t>email</w:t>
            </w:r>
            <w:r>
              <w:t xml:space="preserve"> </w:t>
            </w:r>
            <w:hyperlink r:id="rId29" w:history="1">
              <w:r>
                <w:rPr>
                  <w:rStyle w:val="Hyperlink"/>
                </w:rPr>
                <w:t>Child Safe Orgs</w:t>
              </w:r>
            </w:hyperlink>
            <w:r>
              <w:t xml:space="preserve"> &lt;</w:t>
            </w:r>
            <w:r>
              <w:t>childsafeorgs@dhhs.vic.gov.au</w:t>
            </w:r>
            <w:r>
              <w:t>&gt;.</w:t>
            </w:r>
          </w:p>
          <w:p>
            <w:pPr>
              <w:pStyle w:val="DHHSbody"/>
            </w:pPr>
            <w:r>
              <w:t>Authorised and published by the Victorian Government, 1 Treasury Place, Melbourne.</w:t>
            </w:r>
          </w:p>
          <w:p>
            <w:pPr>
              <w:pStyle w:val="DHHSbody"/>
            </w:pPr>
            <w:r>
              <w:t xml:space="preserve">© State of Victoria, Australia, Department of Health and Human </w:t>
            </w:r>
            <w:r>
              <w:t>Services, September 2018.</w:t>
            </w:r>
          </w:p>
          <w:p>
            <w:pPr>
              <w:pStyle w:val="DHHSbody"/>
            </w:pPr>
            <w:r>
              <w:t>In this document, ‘Aboriginal’ refers to both Aboriginal and Torres Strait Islander people. ‘Indigenous’ or ‘Koori/Koorie’ is retained when part of the title of a report, program or quotation.</w:t>
            </w:r>
          </w:p>
          <w:p>
            <w:pPr>
              <w:pStyle w:val="DHHSbody"/>
            </w:pPr>
            <w:r>
              <w:t>ISBN</w:t>
            </w:r>
            <w:r>
              <w:t xml:space="preserve"> 978-1-76069-583-5 (online/pdf/MS word)</w:t>
            </w:r>
          </w:p>
          <w:p>
            <w:pPr>
              <w:pStyle w:val="DHHSbody"/>
              <w:rPr>
                <w:sz w:val="18"/>
                <w:szCs w:val="18"/>
              </w:rPr>
            </w:pPr>
            <w:r>
              <w:t xml:space="preserve">Available at </w:t>
            </w:r>
            <w:r>
              <w:t>&lt;</w:t>
            </w:r>
            <w:hyperlink r:id="rId30" w:history="1">
              <w:r>
                <w:rPr>
                  <w:rStyle w:val="Hyperlink"/>
                </w:rPr>
                <w:t>https://providers.dhhs.vic.gov.au/child-safe-standards</w:t>
              </w:r>
            </w:hyperlink>
            <w:r>
              <w:t>&gt;</w:t>
            </w:r>
          </w:p>
        </w:tc>
      </w:tr>
    </w:tbl>
    <w:p>
      <w:pPr>
        <w:pStyle w:val="DHHSbody"/>
      </w:pPr>
    </w:p>
    <w:sectPr>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6"/>
      </w:rPr>
    </w:pPr>
    <w:r>
      <w:rPr>
        <w:sz w:val="16"/>
        <w:szCs w:val="28"/>
      </w:rPr>
      <w:t>What to do when an al</w:t>
    </w:r>
    <w:r>
      <w:rPr>
        <w:sz w:val="16"/>
      </w:rPr>
      <w:t>legation of child abuse is made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AU"/>
      </w:rPr>
      <w:drawing>
        <wp:anchor distT="0" distB="0" distL="114300" distR="114300" simplePos="0" relativeHeight="251659264" behindDoc="1" locked="0" layoutInCell="1" allowOverlap="1">
          <wp:simplePos x="0" y="0"/>
          <wp:positionH relativeFrom="column">
            <wp:posOffset>-543560</wp:posOffset>
          </wp:positionH>
          <wp:positionV relativeFrom="paragraph">
            <wp:posOffset>-403569</wp:posOffset>
          </wp:positionV>
          <wp:extent cx="7560000" cy="862391"/>
          <wp:effectExtent l="0" t="0" r="3175" b="0"/>
          <wp:wrapNone/>
          <wp:docPr id="2" name="Picture 2" descr="Child safety is everyone's responsibilty&#10;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cs-footer-port.png"/>
                  <pic:cNvPicPr/>
                </pic:nvPicPr>
                <pic:blipFill>
                  <a:blip r:embed="rId1"/>
                  <a:stretch>
                    <a:fillRect/>
                  </a:stretch>
                </pic:blipFill>
                <pic:spPr>
                  <a:xfrm>
                    <a:off x="0" y="0"/>
                    <a:ext cx="7560000" cy="8623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120"/>
      </w:pPr>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422486D"/>
    <w:multiLevelType w:val="multilevel"/>
    <w:tmpl w:val="9BA2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2F1F"/>
    <w:multiLevelType w:val="hybridMultilevel"/>
    <w:tmpl w:val="F152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1376D9DC"/>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BDF7CEA"/>
    <w:multiLevelType w:val="multilevel"/>
    <w:tmpl w:val="D2D4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A2AF0"/>
    <w:multiLevelType w:val="hybridMultilevel"/>
    <w:tmpl w:val="0850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0491BC3"/>
    <w:multiLevelType w:val="multilevel"/>
    <w:tmpl w:val="64E87938"/>
    <w:lvl w:ilvl="0">
      <w:start w:val="1"/>
      <w:numFmt w:val="bullet"/>
      <w:lvlText w:val="o"/>
      <w:lvlJc w:val="left"/>
      <w:pPr>
        <w:ind w:left="568" w:hanging="284"/>
      </w:pPr>
      <w:rPr>
        <w:rFonts w:ascii="Courier New" w:hAnsi="Courier New" w:cs="Courier New" w:hint="default"/>
      </w:rPr>
    </w:lvl>
    <w:lvl w:ilvl="1">
      <w:start w:val="1"/>
      <w:numFmt w:val="bullet"/>
      <w:lvlRestart w:val="0"/>
      <w:lvlText w:val="•"/>
      <w:lvlJc w:val="left"/>
      <w:pPr>
        <w:ind w:left="568" w:hanging="284"/>
      </w:pPr>
      <w:rPr>
        <w:rFonts w:ascii="Calibri" w:hAnsi="Calibri" w:hint="default"/>
      </w:rPr>
    </w:lvl>
    <w:lvl w:ilvl="2">
      <w:start w:val="1"/>
      <w:numFmt w:val="bullet"/>
      <w:lvlRestart w:val="0"/>
      <w:lvlText w:val="–"/>
      <w:lvlJc w:val="left"/>
      <w:pPr>
        <w:ind w:left="851" w:hanging="283"/>
      </w:pPr>
      <w:rPr>
        <w:rFonts w:ascii="Arial" w:hAnsi="Arial" w:hint="default"/>
      </w:rPr>
    </w:lvl>
    <w:lvl w:ilvl="3">
      <w:start w:val="1"/>
      <w:numFmt w:val="bullet"/>
      <w:lvlRestart w:val="0"/>
      <w:lvlText w:val="–"/>
      <w:lvlJc w:val="left"/>
      <w:pPr>
        <w:ind w:left="851" w:hanging="283"/>
      </w:pPr>
      <w:rPr>
        <w:rFonts w:ascii="Arial" w:hAnsi="Arial" w:hint="default"/>
      </w:rPr>
    </w:lvl>
    <w:lvl w:ilvl="4">
      <w:start w:val="1"/>
      <w:numFmt w:val="bullet"/>
      <w:lvlRestart w:val="0"/>
      <w:lvlText w:val="•"/>
      <w:lvlJc w:val="left"/>
      <w:pPr>
        <w:ind w:left="964" w:hanging="283"/>
      </w:pPr>
      <w:rPr>
        <w:rFonts w:ascii="Calibri" w:hAnsi="Calibri" w:hint="default"/>
      </w:rPr>
    </w:lvl>
    <w:lvl w:ilvl="5">
      <w:start w:val="1"/>
      <w:numFmt w:val="bullet"/>
      <w:lvlRestart w:val="0"/>
      <w:lvlText w:val="•"/>
      <w:lvlJc w:val="left"/>
      <w:pPr>
        <w:ind w:left="964" w:hanging="283"/>
      </w:pPr>
      <w:rPr>
        <w:rFonts w:ascii="Calibri" w:hAnsi="Calibri"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6EC3503"/>
    <w:multiLevelType w:val="hybridMultilevel"/>
    <w:tmpl w:val="069E2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7"/>
  </w:num>
  <w:num w:numId="26">
    <w:abstractNumId w:val="3"/>
  </w:num>
  <w:num w:numId="27">
    <w:abstractNumId w:val="15"/>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D80A81BE-8CB5-4BC7-A87B-BC3EC368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Pr>
      <w:rFonts w:ascii="Cambria" w:hAnsi="Cambria"/>
      <w:lang w:eastAsia="en-US"/>
    </w:rPr>
  </w:style>
  <w:style w:type="paragraph" w:styleId="Heading1">
    <w:name w:val="heading 1"/>
    <w:next w:val="DHHSbody"/>
    <w:link w:val="Heading1Char"/>
    <w:uiPriority w:val="1"/>
    <w:qFormat/>
    <w:pPr>
      <w:keepNext/>
      <w:keepLines/>
      <w:spacing w:before="320" w:after="200" w:line="440" w:lineRule="atLeast"/>
      <w:outlineLvl w:val="0"/>
    </w:pPr>
    <w:rPr>
      <w:rFonts w:ascii="Arial" w:eastAsia="MS Gothic" w:hAnsi="Arial" w:cs="Arial"/>
      <w:bCs/>
      <w:color w:val="500778"/>
      <w:kern w:val="32"/>
      <w:sz w:val="36"/>
      <w:szCs w:val="40"/>
      <w:lang w:eastAsia="en-US"/>
    </w:rPr>
  </w:style>
  <w:style w:type="paragraph" w:styleId="Heading2">
    <w:name w:val="heading 2"/>
    <w:next w:val="DHHSbody"/>
    <w:link w:val="Heading2Char"/>
    <w:uiPriority w:val="1"/>
    <w:qFormat/>
    <w:pPr>
      <w:keepNext/>
      <w:keepLines/>
      <w:spacing w:before="240" w:after="90" w:line="320" w:lineRule="atLeast"/>
      <w:outlineLvl w:val="1"/>
    </w:pPr>
    <w:rPr>
      <w:rFonts w:ascii="Arial" w:hAnsi="Arial"/>
      <w:b/>
      <w:color w:val="500778"/>
      <w:sz w:val="28"/>
      <w:szCs w:val="28"/>
      <w:lang w:eastAsia="en-US"/>
    </w:rPr>
  </w:style>
  <w:style w:type="paragraph" w:styleId="Heading3">
    <w:name w:val="heading 3"/>
    <w:next w:val="DHHSbody"/>
    <w:link w:val="Heading3Char"/>
    <w:uiPriority w:val="1"/>
    <w:qFormat/>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pPr>
      <w:spacing w:after="120" w:line="270" w:lineRule="atLeast"/>
    </w:pPr>
    <w:rPr>
      <w:rFonts w:ascii="Arial" w:eastAsia="Times" w:hAnsi="Arial"/>
      <w:lang w:eastAsia="en-US"/>
    </w:rPr>
  </w:style>
  <w:style w:type="character" w:customStyle="1" w:styleId="Heading1Char">
    <w:name w:val="Heading 1 Char"/>
    <w:link w:val="Heading1"/>
    <w:uiPriority w:val="1"/>
    <w:rPr>
      <w:rFonts w:ascii="Arial" w:eastAsia="MS Gothic" w:hAnsi="Arial" w:cs="Arial"/>
      <w:bCs/>
      <w:color w:val="500778"/>
      <w:kern w:val="32"/>
      <w:sz w:val="36"/>
      <w:szCs w:val="40"/>
      <w:lang w:eastAsia="en-US"/>
    </w:rPr>
  </w:style>
  <w:style w:type="character" w:customStyle="1" w:styleId="Heading2Char">
    <w:name w:val="Heading 2 Char"/>
    <w:link w:val="Heading2"/>
    <w:uiPriority w:val="1"/>
    <w:rPr>
      <w:rFonts w:ascii="Arial" w:hAnsi="Arial"/>
      <w:b/>
      <w:color w:val="500778"/>
      <w:sz w:val="28"/>
      <w:szCs w:val="28"/>
      <w:lang w:eastAsia="en-US"/>
    </w:rPr>
  </w:style>
  <w:style w:type="character" w:customStyle="1" w:styleId="Heading3Char">
    <w:name w:val="Heading 3 Char"/>
    <w:link w:val="Heading3"/>
    <w:uiPriority w:val="1"/>
    <w:rPr>
      <w:rFonts w:ascii="Arial" w:eastAsia="MS Gothic" w:hAnsi="Arial"/>
      <w:b/>
      <w:bCs/>
      <w:sz w:val="24"/>
      <w:szCs w:val="26"/>
      <w:lang w:eastAsia="en-US"/>
    </w:rPr>
  </w:style>
  <w:style w:type="character" w:customStyle="1" w:styleId="Heading4Char">
    <w:name w:val="Heading 4 Char"/>
    <w:link w:val="Heading4"/>
    <w:uiPriority w:val="1"/>
    <w:rPr>
      <w:rFonts w:ascii="Arial" w:eastAsia="MS Mincho" w:hAnsi="Arial"/>
      <w:b/>
      <w:bCs/>
      <w:lang w:eastAsia="en-US"/>
    </w:rPr>
  </w:style>
  <w:style w:type="paragraph" w:styleId="Header">
    <w:name w:val="header"/>
    <w:basedOn w:val="DHHSheader"/>
    <w:uiPriority w:val="10"/>
  </w:style>
  <w:style w:type="paragraph" w:styleId="Footer">
    <w:name w:val="footer"/>
    <w:basedOn w:val="DHHSfooter"/>
    <w:uiPriority w:val="8"/>
  </w:style>
  <w:style w:type="character" w:styleId="FollowedHyperlink">
    <w:name w:val="FollowedHyperlink"/>
    <w:uiPriority w:val="99"/>
    <w:rPr>
      <w:color w:val="87189D"/>
      <w:u w:val="dotted"/>
    </w:rPr>
  </w:style>
  <w:style w:type="paragraph" w:customStyle="1" w:styleId="DHHStabletext6pt">
    <w:name w:val="DHHS table text + 6pt"/>
    <w:basedOn w:val="DHHStabletext"/>
    <w:pPr>
      <w:spacing w:after="120"/>
    </w:pPr>
  </w:style>
  <w:style w:type="paragraph" w:styleId="EndnoteText">
    <w:name w:val="endnote text"/>
    <w:basedOn w:val="Normal"/>
    <w:link w:val="EndnoteTextChar"/>
    <w:semiHidden/>
    <w:rPr>
      <w:sz w:val="24"/>
      <w:szCs w:val="24"/>
    </w:rPr>
  </w:style>
  <w:style w:type="character" w:customStyle="1" w:styleId="EndnoteTextChar">
    <w:name w:val="Endnote Text Char"/>
    <w:link w:val="EndnoteText"/>
    <w:semiHidden/>
    <w:rPr>
      <w:rFonts w:ascii="Verdana" w:hAnsi="Verdana"/>
      <w:sz w:val="24"/>
      <w:szCs w:val="24"/>
      <w:lang w:eastAsia="en-US"/>
    </w:rPr>
  </w:style>
  <w:style w:type="character" w:styleId="EndnoteReference">
    <w:name w:val="endnote reference"/>
    <w:semiHidden/>
    <w:rPr>
      <w:vertAlign w:val="superscript"/>
    </w:rPr>
  </w:style>
  <w:style w:type="table" w:styleId="TableGrid">
    <w:name w:val="Table Grid"/>
    <w:basedOn w:val="TableNormal"/>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pPr>
      <w:spacing w:after="0"/>
    </w:pPr>
  </w:style>
  <w:style w:type="paragraph" w:customStyle="1" w:styleId="DHHSbullet1">
    <w:name w:val="DHHS bullet 1"/>
    <w:basedOn w:val="DHHSbody"/>
    <w:qFormat/>
    <w:pPr>
      <w:numPr>
        <w:numId w:val="7"/>
      </w:numPr>
      <w:spacing w:after="40"/>
    </w:pPr>
  </w:style>
  <w:style w:type="paragraph" w:styleId="DocumentMap">
    <w:name w:val="Document Map"/>
    <w:basedOn w:val="Normal"/>
    <w:link w:val="DocumentMapChar"/>
    <w:uiPriority w:val="99"/>
    <w:semiHidden/>
    <w:unhideWhenUsed/>
    <w:rPr>
      <w:rFonts w:ascii="Lucida Grande" w:hAnsi="Lucida Grande" w:cs="Lucida Grande"/>
      <w:sz w:val="24"/>
      <w:szCs w:val="24"/>
    </w:rPr>
  </w:style>
  <w:style w:type="character" w:customStyle="1" w:styleId="DocumentMapChar">
    <w:name w:val="Document Map Char"/>
    <w:link w:val="DocumentMap"/>
    <w:uiPriority w:val="99"/>
    <w:semiHidden/>
    <w:rPr>
      <w:rFonts w:ascii="Lucida Grande" w:hAnsi="Lucida Grande" w:cs="Lucida Grande"/>
      <w:sz w:val="24"/>
      <w:szCs w:val="24"/>
    </w:rPr>
  </w:style>
  <w:style w:type="character" w:styleId="PageNumber">
    <w:name w:val="page number"/>
    <w:uiPriority w:val="99"/>
    <w:semiHidden/>
    <w:unhideWhenUsed/>
    <w:rPr>
      <w:sz w:val="18"/>
    </w:rPr>
  </w:style>
  <w:style w:type="paragraph" w:styleId="TOC1">
    <w:name w:val="toc 1"/>
    <w:uiPriority w:val="3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Pr>
      <w:rFonts w:ascii="Cambria" w:eastAsia="MS Mincho" w:hAnsi="Cambria"/>
      <w:b/>
      <w:bCs/>
      <w:i/>
      <w:iCs/>
      <w:sz w:val="26"/>
      <w:szCs w:val="26"/>
      <w:lang w:eastAsia="en-US"/>
    </w:rPr>
  </w:style>
  <w:style w:type="character" w:styleId="Strong">
    <w:name w:val="Strong"/>
    <w:uiPriority w:val="22"/>
    <w:qFormat/>
    <w:rPr>
      <w:b/>
      <w:bCs/>
    </w:rPr>
  </w:style>
  <w:style w:type="paragraph" w:customStyle="1" w:styleId="DHHSTOCheadingfactsheet">
    <w:name w:val="DHHS TOC heading fact sheet"/>
    <w:basedOn w:val="Heading2"/>
    <w:next w:val="DHHSbody"/>
    <w:link w:val="DHHSTOCheadingfactsheetChar"/>
    <w:uiPriority w:val="4"/>
    <w:pPr>
      <w:spacing w:before="0" w:after="200"/>
      <w:outlineLvl w:val="9"/>
    </w:pPr>
  </w:style>
  <w:style w:type="character" w:customStyle="1" w:styleId="DHHSTOCheadingfactsheetChar">
    <w:name w:val="DHHS TOC heading fact sheet Char"/>
    <w:link w:val="DHHSTOCheadingfactsheet"/>
    <w:uiPriority w:val="4"/>
    <w:rPr>
      <w:rFonts w:ascii="Arial" w:hAnsi="Arial"/>
      <w:b/>
      <w:color w:val="87189D"/>
      <w:sz w:val="28"/>
      <w:szCs w:val="28"/>
      <w:lang w:eastAsia="en-US"/>
    </w:rPr>
  </w:style>
  <w:style w:type="paragraph" w:styleId="TOC2">
    <w:name w:val="toc 2"/>
    <w:uiPriority w:val="3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pPr>
      <w:ind w:left="284"/>
    </w:pPr>
  </w:style>
  <w:style w:type="paragraph" w:styleId="TOC4">
    <w:name w:val="toc 4"/>
    <w:basedOn w:val="TOC3"/>
    <w:autoRedefine/>
    <w:uiPriority w:val="5"/>
    <w:semiHidden/>
    <w:pPr>
      <w:ind w:left="567"/>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paragraph" w:styleId="Subtitle">
    <w:name w:val="Subtitle"/>
    <w:basedOn w:val="Normal"/>
    <w:next w:val="Normal"/>
    <w:link w:val="SubtitleChar"/>
    <w:uiPriority w:val="11"/>
    <w:semiHidden/>
    <w:qFormat/>
    <w:pPr>
      <w:spacing w:after="60"/>
      <w:jc w:val="center"/>
    </w:pPr>
    <w:rPr>
      <w:rFonts w:ascii="Calibri Light" w:hAnsi="Calibri Light"/>
      <w:sz w:val="24"/>
      <w:szCs w:val="24"/>
    </w:rPr>
  </w:style>
  <w:style w:type="paragraph" w:customStyle="1" w:styleId="Sectionbreakfirstpage">
    <w:name w:val="Section break first page"/>
    <w:uiPriority w:val="5"/>
    <w:pPr>
      <w:spacing w:after="400"/>
    </w:pPr>
    <w:rPr>
      <w:rFonts w:ascii="Arial" w:hAnsi="Arial"/>
      <w:lang w:eastAsia="en-US"/>
    </w:rPr>
  </w:style>
  <w:style w:type="paragraph" w:customStyle="1" w:styleId="DHHStabletext">
    <w:name w:val="DHHS table text"/>
    <w:uiPriority w:val="3"/>
    <w:qFormat/>
    <w:pPr>
      <w:spacing w:before="80" w:after="60"/>
    </w:pPr>
    <w:rPr>
      <w:rFonts w:ascii="Arial" w:hAnsi="Arial"/>
      <w:lang w:eastAsia="en-US"/>
    </w:rPr>
  </w:style>
  <w:style w:type="paragraph" w:customStyle="1" w:styleId="DHHStablecaption">
    <w:name w:val="DHHS table caption"/>
    <w:next w:val="DHHSbody"/>
    <w:uiPriority w:val="3"/>
    <w:qFormat/>
    <w:pPr>
      <w:keepNext/>
      <w:keepLines/>
      <w:spacing w:before="240" w:after="120" w:line="240" w:lineRule="atLeast"/>
    </w:pPr>
    <w:rPr>
      <w:rFonts w:ascii="Arial" w:hAnsi="Arial"/>
      <w:b/>
      <w:lang w:eastAsia="en-US"/>
    </w:rPr>
  </w:style>
  <w:style w:type="paragraph" w:customStyle="1" w:styleId="DHHSmainheading">
    <w:name w:val="DHHS main heading"/>
    <w:uiPriority w:val="8"/>
    <w:pPr>
      <w:spacing w:line="560" w:lineRule="atLeast"/>
    </w:pPr>
    <w:rPr>
      <w:rFonts w:ascii="Arial" w:hAnsi="Arial"/>
      <w:color w:val="FFFFFF"/>
      <w:sz w:val="50"/>
      <w:szCs w:val="50"/>
      <w:lang w:eastAsia="en-US"/>
    </w:rPr>
  </w:style>
  <w:style w:type="character" w:styleId="FootnoteReference">
    <w:name w:val="footnote reference"/>
    <w:uiPriority w:val="8"/>
    <w:rPr>
      <w:vertAlign w:val="superscript"/>
    </w:rPr>
  </w:style>
  <w:style w:type="paragraph" w:customStyle="1" w:styleId="DHHSaccessibilitypara">
    <w:name w:val="DHHS accessibility para"/>
    <w:uiPriority w:val="8"/>
    <w:pPr>
      <w:spacing w:after="200" w:line="300" w:lineRule="atLeast"/>
    </w:pPr>
    <w:rPr>
      <w:rFonts w:ascii="Arial" w:eastAsia="Times" w:hAnsi="Arial"/>
      <w:sz w:val="24"/>
      <w:szCs w:val="19"/>
      <w:lang w:eastAsia="en-US"/>
    </w:rPr>
  </w:style>
  <w:style w:type="paragraph" w:customStyle="1" w:styleId="DHHSfigurecaption">
    <w:name w:val="DHHS figure caption"/>
    <w:next w:val="DHHSbody"/>
    <w:pPr>
      <w:keepNext/>
      <w:keepLines/>
      <w:spacing w:before="240" w:after="120"/>
    </w:pPr>
    <w:rPr>
      <w:rFonts w:ascii="Arial" w:hAnsi="Arial"/>
      <w:b/>
      <w:lang w:eastAsia="en-US"/>
    </w:rPr>
  </w:style>
  <w:style w:type="paragraph" w:customStyle="1" w:styleId="DHHSbullet2">
    <w:name w:val="DHHS bullet 2"/>
    <w:basedOn w:val="DHHSbody"/>
    <w:uiPriority w:val="2"/>
    <w:qFormat/>
    <w:pPr>
      <w:numPr>
        <w:ilvl w:val="1"/>
        <w:numId w:val="7"/>
      </w:numPr>
      <w:spacing w:after="40"/>
    </w:pPr>
  </w:style>
  <w:style w:type="paragraph" w:customStyle="1" w:styleId="DHHSbodyafterbullets">
    <w:name w:val="DHHS body after bullets"/>
    <w:basedOn w:val="DHHSbody"/>
    <w:uiPriority w:val="11"/>
    <w:pPr>
      <w:spacing w:before="120"/>
    </w:pPr>
  </w:style>
  <w:style w:type="paragraph" w:customStyle="1" w:styleId="DHHStablebullet2">
    <w:name w:val="DHHS table bullet 2"/>
    <w:basedOn w:val="DHHStabletext"/>
    <w:uiPriority w:val="11"/>
    <w:pPr>
      <w:numPr>
        <w:ilvl w:val="1"/>
        <w:numId w:val="9"/>
      </w:numPr>
    </w:pPr>
  </w:style>
  <w:style w:type="character" w:customStyle="1" w:styleId="SubtitleChar">
    <w:name w:val="Subtitle Char"/>
    <w:link w:val="Subtitle"/>
    <w:uiPriority w:val="11"/>
    <w:semiHidden/>
    <w:rPr>
      <w:rFonts w:ascii="Calibri Light" w:hAnsi="Calibri Light"/>
      <w:sz w:val="24"/>
      <w:szCs w:val="24"/>
      <w:lang w:eastAsia="en-US"/>
    </w:rPr>
  </w:style>
  <w:style w:type="paragraph" w:customStyle="1" w:styleId="DHHStablebullet1">
    <w:name w:val="DHHS table bullet 1"/>
    <w:basedOn w:val="DHHStabletext"/>
    <w:uiPriority w:val="3"/>
    <w:qFormat/>
    <w:pPr>
      <w:numPr>
        <w:numId w:val="9"/>
      </w:numPr>
    </w:pPr>
  </w:style>
  <w:style w:type="numbering" w:customStyle="1" w:styleId="ZZTablebullets">
    <w:name w:val="ZZ Table bullets"/>
    <w:basedOn w:val="NoList"/>
    <w:pPr>
      <w:numPr>
        <w:numId w:val="9"/>
      </w:numPr>
    </w:pPr>
  </w:style>
  <w:style w:type="paragraph" w:customStyle="1" w:styleId="DHHStablecolhead">
    <w:name w:val="DHHS table col head"/>
    <w:uiPriority w:val="3"/>
    <w:qFormat/>
    <w:pPr>
      <w:spacing w:before="80" w:after="60"/>
    </w:pPr>
    <w:rPr>
      <w:rFonts w:ascii="Arial" w:hAnsi="Arial"/>
      <w:b/>
      <w:color w:val="500778"/>
      <w:lang w:eastAsia="en-US"/>
    </w:rPr>
  </w:style>
  <w:style w:type="paragraph" w:customStyle="1" w:styleId="DHHSbulletafternumbers1">
    <w:name w:val="DHHS bullet after numbers 1"/>
    <w:basedOn w:val="DHHSbody"/>
    <w:uiPriority w:val="4"/>
    <w:pPr>
      <w:numPr>
        <w:ilvl w:val="2"/>
        <w:numId w:val="2"/>
      </w:numPr>
    </w:pPr>
  </w:style>
  <w:style w:type="character" w:styleId="Hyperlink">
    <w:name w:val="Hyperlink"/>
    <w:uiPriority w:val="99"/>
    <w:rPr>
      <w:color w:val="0072CE"/>
      <w:u w:val="dotted"/>
    </w:rPr>
  </w:style>
  <w:style w:type="paragraph" w:customStyle="1" w:styleId="DHHSmainsubheading">
    <w:name w:val="DHHS main subheading"/>
    <w:uiPriority w:val="8"/>
    <w:rPr>
      <w:rFonts w:ascii="Arial" w:hAnsi="Arial"/>
      <w:color w:val="FFFFFF"/>
      <w:sz w:val="28"/>
      <w:szCs w:val="24"/>
      <w:lang w:eastAsia="en-US"/>
    </w:rPr>
  </w:style>
  <w:style w:type="paragraph" w:styleId="FootnoteText">
    <w:name w:val="footnote text"/>
    <w:basedOn w:val="Normal"/>
    <w:link w:val="FootnoteTextChar"/>
    <w:uiPriority w:val="8"/>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Pr>
      <w:rFonts w:ascii="Arial" w:eastAsia="MS Gothic" w:hAnsi="Arial" w:cs="Arial"/>
      <w:sz w:val="16"/>
      <w:szCs w:val="16"/>
      <w:lang w:eastAsia="en-US"/>
    </w:rPr>
  </w:style>
  <w:style w:type="paragraph" w:customStyle="1" w:styleId="Spacerparatopoffirstpage">
    <w:name w:val="Spacer para top of first page"/>
    <w:basedOn w:val="DHHSbodynospace"/>
    <w:semiHidden/>
    <w:pPr>
      <w:spacing w:line="240" w:lineRule="auto"/>
    </w:pPr>
    <w:rPr>
      <w:noProof/>
      <w:sz w:val="12"/>
    </w:rPr>
  </w:style>
  <w:style w:type="paragraph" w:styleId="Title">
    <w:name w:val="Title"/>
    <w:basedOn w:val="Normal"/>
    <w:next w:val="Normal"/>
    <w:link w:val="TitleChar"/>
    <w:uiPriority w:val="10"/>
    <w:semiHidden/>
    <w:qFormat/>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Pr>
      <w:rFonts w:ascii="Calibri Light" w:hAnsi="Calibri Light"/>
      <w:b/>
      <w:bCs/>
      <w:kern w:val="28"/>
      <w:sz w:val="32"/>
      <w:szCs w:val="32"/>
      <w:lang w:eastAsia="en-US"/>
    </w:rPr>
  </w:style>
  <w:style w:type="numbering" w:customStyle="1" w:styleId="ZZBullets">
    <w:name w:val="ZZ Bullets"/>
    <w:pPr>
      <w:numPr>
        <w:numId w:val="7"/>
      </w:numPr>
    </w:pPr>
  </w:style>
  <w:style w:type="numbering" w:customStyle="1" w:styleId="ZZNumbersdigit">
    <w:name w:val="ZZ Numbers digit"/>
    <w:pPr>
      <w:numPr>
        <w:numId w:val="2"/>
      </w:numPr>
    </w:pPr>
  </w:style>
  <w:style w:type="numbering" w:customStyle="1" w:styleId="ZZQuotebullets">
    <w:name w:val="ZZ Quote bullets"/>
    <w:basedOn w:val="ZZNumbersdigit"/>
    <w:pPr>
      <w:numPr>
        <w:numId w:val="11"/>
      </w:numPr>
    </w:pPr>
  </w:style>
  <w:style w:type="paragraph" w:customStyle="1" w:styleId="DHHSnumberdigit">
    <w:name w:val="DHHS number digit"/>
    <w:basedOn w:val="DHHSbody"/>
    <w:uiPriority w:val="2"/>
    <w:pPr>
      <w:numPr>
        <w:numId w:val="8"/>
      </w:numPr>
    </w:pPr>
  </w:style>
  <w:style w:type="paragraph" w:customStyle="1" w:styleId="DHHSnumberloweralphaindent">
    <w:name w:val="DHHS number lower alpha indent"/>
    <w:basedOn w:val="DHHSbody"/>
    <w:uiPriority w:val="3"/>
    <w:pPr>
      <w:numPr>
        <w:ilvl w:val="1"/>
        <w:numId w:val="20"/>
      </w:numPr>
    </w:pPr>
  </w:style>
  <w:style w:type="paragraph" w:customStyle="1" w:styleId="DHHSnumberdigitindent">
    <w:name w:val="DHHS number digit indent"/>
    <w:basedOn w:val="DHHSnumberloweralphaindent"/>
    <w:uiPriority w:val="3"/>
    <w:pPr>
      <w:numPr>
        <w:numId w:val="2"/>
      </w:numPr>
    </w:pPr>
  </w:style>
  <w:style w:type="paragraph" w:customStyle="1" w:styleId="DHHSnumberloweralpha">
    <w:name w:val="DHHS number lower alpha"/>
    <w:basedOn w:val="DHHSbody"/>
    <w:uiPriority w:val="3"/>
    <w:pPr>
      <w:numPr>
        <w:numId w:val="20"/>
      </w:numPr>
    </w:pPr>
  </w:style>
  <w:style w:type="paragraph" w:customStyle="1" w:styleId="DHHSnumberlowerroman">
    <w:name w:val="DHHS number lower roman"/>
    <w:basedOn w:val="DHHSbody"/>
    <w:uiPriority w:val="3"/>
    <w:pPr>
      <w:numPr>
        <w:numId w:val="13"/>
      </w:numPr>
    </w:pPr>
  </w:style>
  <w:style w:type="paragraph" w:customStyle="1" w:styleId="DHHSnumberlowerromanindent">
    <w:name w:val="DHHS number lower roman indent"/>
    <w:basedOn w:val="DHHSbody"/>
    <w:uiPriority w:val="3"/>
    <w:pPr>
      <w:numPr>
        <w:ilvl w:val="1"/>
        <w:numId w:val="13"/>
      </w:numPr>
    </w:pPr>
  </w:style>
  <w:style w:type="paragraph" w:customStyle="1" w:styleId="DHHSquote">
    <w:name w:val="DHHS quote"/>
    <w:basedOn w:val="DHHSbody"/>
    <w:uiPriority w:val="4"/>
    <w:pPr>
      <w:ind w:left="397"/>
    </w:pPr>
    <w:rPr>
      <w:szCs w:val="18"/>
    </w:rPr>
  </w:style>
  <w:style w:type="paragraph" w:customStyle="1" w:styleId="DHHStablefigurenote">
    <w:name w:val="DHHS table/figure note"/>
    <w:uiPriority w:val="4"/>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pPr>
      <w:spacing w:before="240"/>
    </w:pPr>
  </w:style>
  <w:style w:type="paragraph" w:customStyle="1" w:styleId="DHHSfooter">
    <w:name w:val="DHHS footer"/>
    <w:uiPriority w:val="11"/>
    <w:pPr>
      <w:tabs>
        <w:tab w:val="right" w:pos="10206"/>
      </w:tabs>
    </w:pPr>
    <w:rPr>
      <w:rFonts w:ascii="Arial" w:hAnsi="Arial" w:cs="Arial"/>
      <w:sz w:val="18"/>
      <w:szCs w:val="18"/>
      <w:lang w:eastAsia="en-US"/>
    </w:rPr>
  </w:style>
  <w:style w:type="paragraph" w:customStyle="1" w:styleId="DHHSheader">
    <w:name w:val="DHHS header"/>
    <w:basedOn w:val="DHHSfooter"/>
    <w:uiPriority w:val="11"/>
  </w:style>
  <w:style w:type="paragraph" w:customStyle="1" w:styleId="DHHSbulletafternumbers2">
    <w:name w:val="DHHS bullet after numbers 2"/>
    <w:basedOn w:val="DHHSbody"/>
    <w:pPr>
      <w:numPr>
        <w:ilvl w:val="3"/>
        <w:numId w:val="2"/>
      </w:numPr>
    </w:pPr>
  </w:style>
  <w:style w:type="numbering" w:customStyle="1" w:styleId="ZZNumberslowerroman">
    <w:name w:val="ZZ Numbers lower roman"/>
    <w:basedOn w:val="ZZQuotebullets"/>
    <w:pPr>
      <w:numPr>
        <w:numId w:val="13"/>
      </w:numPr>
    </w:pPr>
  </w:style>
  <w:style w:type="numbering" w:customStyle="1" w:styleId="ZZNumbersloweralpha">
    <w:name w:val="ZZ Numbers lower alpha"/>
    <w:basedOn w:val="NoList"/>
    <w:pPr>
      <w:numPr>
        <w:numId w:val="20"/>
      </w:numPr>
    </w:pPr>
  </w:style>
  <w:style w:type="paragraph" w:customStyle="1" w:styleId="DHHSquotebullet1">
    <w:name w:val="DHHS quote bullet 1"/>
    <w:basedOn w:val="DHHSquote"/>
    <w:pPr>
      <w:numPr>
        <w:numId w:val="11"/>
      </w:numPr>
    </w:pPr>
  </w:style>
  <w:style w:type="paragraph" w:customStyle="1" w:styleId="DHHSquotebullet2">
    <w:name w:val="DHHS quote bullet 2"/>
    <w:basedOn w:val="DHHSquote"/>
    <w:pPr>
      <w:numPr>
        <w:ilvl w:val="1"/>
        <w:numId w:val="11"/>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DHHStablebullet">
    <w:name w:val="DHHS table bullet"/>
    <w:basedOn w:val="DHHStabletext"/>
    <w:uiPriority w:val="3"/>
    <w:qFormat/>
    <w:pPr>
      <w:ind w:left="227" w:hanging="227"/>
    </w:pPr>
  </w:style>
  <w:style w:type="paragraph" w:customStyle="1" w:styleId="DHHSbulletindent">
    <w:name w:val="DHHS bullet indent"/>
    <w:basedOn w:val="DHHSbody"/>
    <w:uiPriority w:val="4"/>
    <w:pPr>
      <w:spacing w:after="40"/>
      <w:ind w:left="680" w:hanging="283"/>
    </w:pPr>
  </w:style>
  <w:style w:type="paragraph" w:customStyle="1" w:styleId="DHHSbullet1lastline">
    <w:name w:val="DHHS bullet 1 last line"/>
    <w:basedOn w:val="DHHSbullet1"/>
    <w:qFormat/>
    <w:pPr>
      <w:numPr>
        <w:numId w:val="0"/>
      </w:numPr>
      <w:spacing w:after="120"/>
      <w:ind w:left="284" w:hanging="284"/>
    </w:pPr>
  </w:style>
  <w:style w:type="paragraph" w:customStyle="1" w:styleId="DHHSbullet2lastline">
    <w:name w:val="DHHS bullet 2 last line"/>
    <w:basedOn w:val="DHHSbullet2"/>
    <w:uiPriority w:val="2"/>
    <w:qFormat/>
    <w:pPr>
      <w:numPr>
        <w:ilvl w:val="0"/>
        <w:numId w:val="0"/>
      </w:numPr>
      <w:spacing w:after="120"/>
      <w:ind w:left="567" w:hanging="283"/>
    </w:pPr>
  </w:style>
  <w:style w:type="paragraph" w:customStyle="1" w:styleId="DHHSbulletindentlastline">
    <w:name w:val="DHHS bullet indent last line"/>
    <w:basedOn w:val="DHHSbody"/>
    <w:uiPriority w:val="4"/>
    <w:pPr>
      <w:ind w:left="680" w:hanging="283"/>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mbria" w:hAnsi="Cambria"/>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mbria" w:hAnsi="Cambria"/>
      <w:b/>
      <w:bCs/>
      <w:lang w:eastAsia="en-US"/>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Revision">
    <w:name w:val="Revision"/>
    <w:hidden/>
    <w:uiPriority w:val="71"/>
    <w:rPr>
      <w:rFonts w:ascii="Cambria" w:hAnsi="Cambria"/>
      <w:lang w:eastAsia="en-US"/>
    </w:rPr>
  </w:style>
  <w:style w:type="paragraph" w:styleId="NormalWeb">
    <w:name w:val="Normal (Web)"/>
    <w:basedOn w:val="Normal"/>
    <w:uiPriority w:val="99"/>
    <w:semiHidden/>
    <w:unhideWhenUsed/>
    <w:pPr>
      <w:spacing w:before="240" w:after="240" w:line="288" w:lineRule="atLeast"/>
    </w:pPr>
    <w:rPr>
      <w:rFonts w:ascii="Times New Roman" w:hAnsi="Times New Roman"/>
      <w:sz w:val="24"/>
      <w:szCs w:val="24"/>
      <w:lang w:eastAsia="en-AU"/>
    </w:rPr>
  </w:style>
  <w:style w:type="character" w:customStyle="1" w:styleId="DHHSbodyChar">
    <w:name w:val="DHHS body Char"/>
    <w:link w:val="DHHSbody"/>
    <w:locked/>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52027">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244611133">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9">
          <w:marLeft w:val="0"/>
          <w:marRight w:val="0"/>
          <w:marTop w:val="0"/>
          <w:marBottom w:val="0"/>
          <w:divBdr>
            <w:top w:val="none" w:sz="0" w:space="0" w:color="auto"/>
            <w:left w:val="none" w:sz="0" w:space="0" w:color="auto"/>
            <w:bottom w:val="none" w:sz="0" w:space="0" w:color="auto"/>
            <w:right w:val="none" w:sz="0" w:space="0" w:color="auto"/>
          </w:divBdr>
          <w:divsChild>
            <w:div w:id="1099719126">
              <w:marLeft w:val="0"/>
              <w:marRight w:val="0"/>
              <w:marTop w:val="0"/>
              <w:marBottom w:val="0"/>
              <w:divBdr>
                <w:top w:val="none" w:sz="0" w:space="0" w:color="auto"/>
                <w:left w:val="none" w:sz="0" w:space="0" w:color="auto"/>
                <w:bottom w:val="none" w:sz="0" w:space="0" w:color="auto"/>
                <w:right w:val="none" w:sz="0" w:space="0" w:color="auto"/>
              </w:divBdr>
              <w:divsChild>
                <w:div w:id="1037243829">
                  <w:marLeft w:val="0"/>
                  <w:marRight w:val="0"/>
                  <w:marTop w:val="0"/>
                  <w:marBottom w:val="0"/>
                  <w:divBdr>
                    <w:top w:val="none" w:sz="0" w:space="0" w:color="auto"/>
                    <w:left w:val="none" w:sz="0" w:space="0" w:color="auto"/>
                    <w:bottom w:val="none" w:sz="0" w:space="0" w:color="auto"/>
                    <w:right w:val="none" w:sz="0" w:space="0" w:color="auto"/>
                  </w:divBdr>
                  <w:divsChild>
                    <w:div w:id="900867466">
                      <w:marLeft w:val="0"/>
                      <w:marRight w:val="0"/>
                      <w:marTop w:val="0"/>
                      <w:marBottom w:val="0"/>
                      <w:divBdr>
                        <w:top w:val="none" w:sz="0" w:space="0" w:color="auto"/>
                        <w:left w:val="none" w:sz="0" w:space="0" w:color="auto"/>
                        <w:bottom w:val="none" w:sz="0" w:space="0" w:color="auto"/>
                        <w:right w:val="none" w:sz="0" w:space="0" w:color="auto"/>
                      </w:divBdr>
                      <w:divsChild>
                        <w:div w:id="1165627314">
                          <w:marLeft w:val="0"/>
                          <w:marRight w:val="0"/>
                          <w:marTop w:val="0"/>
                          <w:marBottom w:val="1200"/>
                          <w:divBdr>
                            <w:top w:val="none" w:sz="0" w:space="0" w:color="auto"/>
                            <w:left w:val="none" w:sz="0" w:space="0" w:color="auto"/>
                            <w:bottom w:val="none" w:sz="0" w:space="0" w:color="auto"/>
                            <w:right w:val="none" w:sz="0" w:space="0" w:color="auto"/>
                          </w:divBdr>
                          <w:divsChild>
                            <w:div w:id="166212994">
                              <w:marLeft w:val="0"/>
                              <w:marRight w:val="0"/>
                              <w:marTop w:val="0"/>
                              <w:marBottom w:val="0"/>
                              <w:divBdr>
                                <w:top w:val="none" w:sz="0" w:space="0" w:color="auto"/>
                                <w:left w:val="none" w:sz="0" w:space="0" w:color="auto"/>
                                <w:bottom w:val="none" w:sz="0" w:space="0" w:color="auto"/>
                                <w:right w:val="none" w:sz="0" w:space="0" w:color="auto"/>
                              </w:divBdr>
                              <w:divsChild>
                                <w:div w:id="84035689">
                                  <w:marLeft w:val="0"/>
                                  <w:marRight w:val="0"/>
                                  <w:marTop w:val="0"/>
                                  <w:marBottom w:val="0"/>
                                  <w:divBdr>
                                    <w:top w:val="none" w:sz="0" w:space="0" w:color="auto"/>
                                    <w:left w:val="none" w:sz="0" w:space="0" w:color="auto"/>
                                    <w:bottom w:val="none" w:sz="0" w:space="0" w:color="auto"/>
                                    <w:right w:val="none" w:sz="0" w:space="0" w:color="auto"/>
                                  </w:divBdr>
                                  <w:divsChild>
                                    <w:div w:id="194469588">
                                      <w:marLeft w:val="0"/>
                                      <w:marRight w:val="0"/>
                                      <w:marTop w:val="0"/>
                                      <w:marBottom w:val="0"/>
                                      <w:divBdr>
                                        <w:top w:val="single" w:sz="6" w:space="0" w:color="D7D7D7"/>
                                        <w:left w:val="none" w:sz="0" w:space="0" w:color="auto"/>
                                        <w:bottom w:val="single" w:sz="6" w:space="0" w:color="CCCCCC"/>
                                        <w:right w:val="none" w:sz="0" w:space="0" w:color="auto"/>
                                      </w:divBdr>
                                      <w:divsChild>
                                        <w:div w:id="1335182067">
                                          <w:marLeft w:val="0"/>
                                          <w:marRight w:val="0"/>
                                          <w:marTop w:val="0"/>
                                          <w:marBottom w:val="0"/>
                                          <w:divBdr>
                                            <w:top w:val="single" w:sz="12" w:space="8" w:color="FFFFFF"/>
                                            <w:left w:val="none" w:sz="0" w:space="0" w:color="auto"/>
                                            <w:bottom w:val="single" w:sz="6" w:space="8" w:color="FFFFFF"/>
                                            <w:right w:val="none" w:sz="0" w:space="0" w:color="auto"/>
                                          </w:divBdr>
                                          <w:divsChild>
                                            <w:div w:id="20631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manual.vic.gov.au/advice-and-protocols/protocols/professionals-reporting-guide" TargetMode="External"/><Relationship Id="rId18" Type="http://schemas.openxmlformats.org/officeDocument/2006/relationships/hyperlink" Target="https://providers.dhhs.vic.gov.au/making-report-child-protection" TargetMode="External"/><Relationship Id="rId26" Type="http://schemas.openxmlformats.org/officeDocument/2006/relationships/hyperlink" Target="https://providers.dhhs.vic.gov.au/child-safe-standards" TargetMode="External"/><Relationship Id="rId3" Type="http://schemas.openxmlformats.org/officeDocument/2006/relationships/styles" Target="styles.xml"/><Relationship Id="rId21" Type="http://schemas.openxmlformats.org/officeDocument/2006/relationships/hyperlink" Target="https://ccyp.vic.gov.au/reportable-conduct-scheme/for-organisations/" TargetMode="External"/><Relationship Id="rId7" Type="http://schemas.openxmlformats.org/officeDocument/2006/relationships/endnotes" Target="endnotes.xml"/><Relationship Id="rId12" Type="http://schemas.openxmlformats.org/officeDocument/2006/relationships/hyperlink" Target="https://services.dhhs.vic.gov.au/child-protection-contacts" TargetMode="External"/><Relationship Id="rId17" Type="http://schemas.openxmlformats.org/officeDocument/2006/relationships/hyperlink" Target="http://www.cpmanual.vic.gov.au/advice-and-protocols/advice/intake/mandatory-reporting" TargetMode="External"/><Relationship Id="rId25" Type="http://schemas.openxmlformats.org/officeDocument/2006/relationships/hyperlink" Target="https://www.justice.vic.gov.au/safer-communities/protecting-children-and-families/betrayal-of-trust-fact-sheet-the-new" TargetMode="External"/><Relationship Id="rId2" Type="http://schemas.openxmlformats.org/officeDocument/2006/relationships/numbering" Target="numbering.xml"/><Relationship Id="rId16" Type="http://schemas.openxmlformats.org/officeDocument/2006/relationships/hyperlink" Target="https://www.justice.vic.gov.au/safer-communities/protecting-children-and-families/failure-to-disclose-offence" TargetMode="External"/><Relationship Id="rId20" Type="http://schemas.openxmlformats.org/officeDocument/2006/relationships/hyperlink" Target="https://providers.dhhs.vic.gov.au/failure-protect-offence-factsheet-word" TargetMode="External"/><Relationship Id="rId29" Type="http://schemas.openxmlformats.org/officeDocument/2006/relationships/hyperlink" Target="mailto:childsafeorgs@dhhs.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vic.gov.au/content.asp?Document_ID=7" TargetMode="External"/><Relationship Id="rId24" Type="http://schemas.openxmlformats.org/officeDocument/2006/relationships/hyperlink" Target="http://www.ccyp.vic.gov.au/reportableconduct/index.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viders.dhhs.vic.gov.au/communicate-and-consult-people-disability" TargetMode="External"/><Relationship Id="rId23" Type="http://schemas.openxmlformats.org/officeDocument/2006/relationships/hyperlink" Target="https://providers.dhhs.vic.gov.au/reportable-conduct-scheme" TargetMode="External"/><Relationship Id="rId28" Type="http://schemas.openxmlformats.org/officeDocument/2006/relationships/hyperlink" Target="https://ccyp.vic.gov.au/child-safety/" TargetMode="External"/><Relationship Id="rId10" Type="http://schemas.openxmlformats.org/officeDocument/2006/relationships/footer" Target="footer2.xml"/><Relationship Id="rId19" Type="http://schemas.openxmlformats.org/officeDocument/2006/relationships/hyperlink" Target="https://www.justice.vic.gov.au/safer-communities/protecting-children-and-families/failure-to-protect-a-new-criminal-offence-t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cyp.vic.gov.au/assets/resources/Responsibilities-of-the-head-of-an-organisation.docx" TargetMode="External"/><Relationship Id="rId22" Type="http://schemas.openxmlformats.org/officeDocument/2006/relationships/hyperlink" Target="https://ccyp.vic.gov.au/assets/resources/Responsibilities-of-the-head-of-an-organisation.docx" TargetMode="External"/><Relationship Id="rId27" Type="http://schemas.openxmlformats.org/officeDocument/2006/relationships/hyperlink" Target="https://providers.dhhs.vic.gov.au/overview-victorian-child-safe-standards-word" TargetMode="External"/><Relationship Id="rId30" Type="http://schemas.openxmlformats.org/officeDocument/2006/relationships/hyperlink" Target="https://providers.dhhs.vic.gov.au/child-safe-standard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B6B8-8241-4967-8CC6-5029779B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3094</Words>
  <Characters>17636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What to do when an allegation of child abuse is made</vt:lpstr>
    </vt:vector>
  </TitlesOfParts>
  <Company>Department of Health and Human Services</Company>
  <LinksUpToDate>false</LinksUpToDate>
  <CharactersWithSpaces>20689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when an allegation of child abuse is made</dc:title>
  <dc:subject>What to do when an allegation of child abuse is made</dc:subject>
  <dc:creator>Human Services Regulator</dc:creator>
  <cp:keywords>Child Safe Standards</cp:keywords>
  <cp:lastModifiedBy>Heather Kennedy</cp:lastModifiedBy>
  <cp:revision>2</cp:revision>
  <cp:lastPrinted>2019-05-08T00:50:00Z</cp:lastPrinted>
  <dcterms:created xsi:type="dcterms:W3CDTF">2019-05-08T00:54:00Z</dcterms:created>
  <dcterms:modified xsi:type="dcterms:W3CDTF">2019-05-08T00:54:00Z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